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87767" w14:textId="3BC3A394" w:rsidR="00100B3F" w:rsidRPr="006A6768" w:rsidRDefault="006A6768">
      <w:pPr>
        <w:tabs>
          <w:tab w:val="left" w:pos="935"/>
          <w:tab w:val="left" w:pos="1080"/>
        </w:tabs>
        <w:spacing w:before="120"/>
        <w:rPr>
          <w:b/>
          <w:sz w:val="28"/>
          <w:szCs w:val="28"/>
        </w:rPr>
      </w:pPr>
      <w:r>
        <w:rPr>
          <w:b/>
          <w:sz w:val="28"/>
          <w:szCs w:val="28"/>
        </w:rPr>
        <w:t xml:space="preserve">Prospectus for </w:t>
      </w:r>
      <w:r w:rsidR="002E4890">
        <w:rPr>
          <w:b/>
          <w:sz w:val="28"/>
          <w:szCs w:val="28"/>
        </w:rPr>
        <w:t>Master of Marine Policy (MMP)</w:t>
      </w:r>
    </w:p>
    <w:p w14:paraId="771960BD" w14:textId="77777777" w:rsidR="00100B3F" w:rsidRPr="006A6768" w:rsidRDefault="006A6768">
      <w:pPr>
        <w:tabs>
          <w:tab w:val="left" w:pos="935"/>
          <w:tab w:val="left" w:pos="1080"/>
        </w:tabs>
        <w:spacing w:before="120"/>
        <w:rPr>
          <w:b/>
          <w:sz w:val="24"/>
          <w:szCs w:val="24"/>
        </w:rPr>
      </w:pPr>
      <w:smartTag w:uri="urn:schemas-microsoft-com:office:smarttags" w:element="PlaceType">
        <w:r>
          <w:rPr>
            <w:b/>
            <w:sz w:val="24"/>
            <w:szCs w:val="24"/>
          </w:rPr>
          <w:t>University</w:t>
        </w:r>
      </w:smartTag>
      <w:r>
        <w:rPr>
          <w:b/>
          <w:sz w:val="24"/>
          <w:szCs w:val="24"/>
        </w:rPr>
        <w:t xml:space="preserve"> of </w:t>
      </w:r>
      <w:smartTag w:uri="urn:schemas-microsoft-com:office:smarttags" w:element="PlaceName">
        <w:r>
          <w:rPr>
            <w:b/>
            <w:sz w:val="24"/>
            <w:szCs w:val="24"/>
          </w:rPr>
          <w:t>Alaska</w:t>
        </w:r>
      </w:smartTag>
      <w:r>
        <w:rPr>
          <w:b/>
          <w:sz w:val="24"/>
          <w:szCs w:val="24"/>
        </w:rPr>
        <w:t xml:space="preserve"> </w:t>
      </w:r>
      <w:smartTag w:uri="urn:schemas-microsoft-com:office:smarttags" w:element="place">
        <w:smartTag w:uri="urn:schemas-microsoft-com:office:smarttags" w:element="City">
          <w:r>
            <w:rPr>
              <w:b/>
              <w:sz w:val="24"/>
              <w:szCs w:val="24"/>
            </w:rPr>
            <w:t>Fairbanks</w:t>
          </w:r>
        </w:smartTag>
      </w:smartTag>
    </w:p>
    <w:p w14:paraId="23A126F4" w14:textId="77777777" w:rsidR="00100B3F" w:rsidRPr="006A6768" w:rsidRDefault="00100B3F">
      <w:pPr>
        <w:tabs>
          <w:tab w:val="left" w:pos="935"/>
          <w:tab w:val="left" w:pos="1080"/>
        </w:tabs>
        <w:spacing w:before="120"/>
        <w:rPr>
          <w:b/>
          <w:sz w:val="24"/>
          <w:szCs w:val="24"/>
        </w:rPr>
      </w:pPr>
    </w:p>
    <w:p w14:paraId="15643558" w14:textId="77777777" w:rsidR="002B386F" w:rsidRPr="002B386F" w:rsidRDefault="00100B3F">
      <w:pPr>
        <w:tabs>
          <w:tab w:val="left" w:pos="935"/>
          <w:tab w:val="left" w:pos="1080"/>
        </w:tabs>
        <w:spacing w:before="120"/>
        <w:rPr>
          <w:color w:val="C0504D" w:themeColor="accent2"/>
          <w:sz w:val="24"/>
          <w:szCs w:val="24"/>
        </w:rPr>
      </w:pPr>
      <w:r w:rsidRPr="006A6768">
        <w:rPr>
          <w:b/>
          <w:sz w:val="24"/>
          <w:szCs w:val="24"/>
        </w:rPr>
        <w:t xml:space="preserve">A. </w:t>
      </w:r>
      <w:r w:rsidR="004B667D">
        <w:rPr>
          <w:b/>
          <w:sz w:val="24"/>
          <w:szCs w:val="24"/>
        </w:rPr>
        <w:t xml:space="preserve"> </w:t>
      </w:r>
      <w:r w:rsidR="002B386F" w:rsidRPr="002B386F">
        <w:rPr>
          <w:b/>
          <w:bCs/>
          <w:sz w:val="24"/>
          <w:szCs w:val="24"/>
        </w:rPr>
        <w:t xml:space="preserve">Mission and </w:t>
      </w:r>
      <w:r w:rsidR="002B386F" w:rsidRPr="002E4890">
        <w:rPr>
          <w:b/>
          <w:bCs/>
          <w:sz w:val="24"/>
          <w:szCs w:val="24"/>
        </w:rPr>
        <w:t>Objectives</w:t>
      </w:r>
      <w:r w:rsidR="002B386F" w:rsidRPr="002B386F">
        <w:rPr>
          <w:color w:val="C0504D" w:themeColor="accent2"/>
          <w:sz w:val="24"/>
          <w:szCs w:val="24"/>
        </w:rPr>
        <w:t xml:space="preserve">: </w:t>
      </w:r>
    </w:p>
    <w:p w14:paraId="4E3BADCB" w14:textId="00D5CAB0" w:rsidR="002E4890" w:rsidRDefault="002B386F">
      <w:pPr>
        <w:tabs>
          <w:tab w:val="left" w:pos="935"/>
          <w:tab w:val="left" w:pos="1080"/>
        </w:tabs>
        <w:spacing w:before="120"/>
        <w:rPr>
          <w:sz w:val="24"/>
          <w:szCs w:val="24"/>
        </w:rPr>
      </w:pPr>
      <w:r w:rsidRPr="002E4890">
        <w:rPr>
          <w:sz w:val="24"/>
          <w:szCs w:val="24"/>
        </w:rPr>
        <w:t xml:space="preserve">1. </w:t>
      </w:r>
      <w:r w:rsidR="002E4890" w:rsidRPr="002E4890">
        <w:rPr>
          <w:sz w:val="24"/>
          <w:szCs w:val="24"/>
        </w:rPr>
        <w:t>Clear statement of the nature and purposes of the change in the context of institutional mission and objectives.</w:t>
      </w:r>
    </w:p>
    <w:p w14:paraId="7D0C6027" w14:textId="19E701C5" w:rsidR="002E4890" w:rsidRPr="002E4890" w:rsidRDefault="002E4890">
      <w:pPr>
        <w:tabs>
          <w:tab w:val="left" w:pos="935"/>
          <w:tab w:val="left" w:pos="1080"/>
        </w:tabs>
        <w:spacing w:before="120"/>
        <w:rPr>
          <w:rStyle w:val="fontstyle01"/>
          <w:rFonts w:ascii="Times New Roman" w:hAnsi="Times New Roman"/>
          <w:color w:val="auto"/>
          <w:sz w:val="24"/>
          <w:szCs w:val="24"/>
        </w:rPr>
      </w:pPr>
      <w:r w:rsidRPr="002E4890">
        <w:rPr>
          <w:rStyle w:val="fontstyle01"/>
          <w:rFonts w:ascii="Times New Roman" w:hAnsi="Times New Roman"/>
          <w:color w:val="auto"/>
          <w:sz w:val="24"/>
          <w:szCs w:val="24"/>
        </w:rPr>
        <w:t>The MMP, with its focus on developing graduates trained in the application of science and policy and</w:t>
      </w:r>
      <w:r w:rsidRPr="002E4890">
        <w:rPr>
          <w:sz w:val="24"/>
          <w:szCs w:val="24"/>
        </w:rPr>
        <w:br/>
      </w:r>
      <w:r w:rsidRPr="002E4890">
        <w:rPr>
          <w:rStyle w:val="fontstyle01"/>
          <w:rFonts w:ascii="Times New Roman" w:hAnsi="Times New Roman"/>
          <w:color w:val="auto"/>
          <w:sz w:val="24"/>
          <w:szCs w:val="24"/>
        </w:rPr>
        <w:t>focused on the interface between living marine resources and the people and communities that rely on</w:t>
      </w:r>
      <w:r w:rsidRPr="002E4890">
        <w:rPr>
          <w:sz w:val="24"/>
          <w:szCs w:val="24"/>
        </w:rPr>
        <w:br/>
      </w:r>
      <w:r w:rsidRPr="002E4890">
        <w:rPr>
          <w:rStyle w:val="fontstyle01"/>
          <w:rFonts w:ascii="Times New Roman" w:hAnsi="Times New Roman"/>
          <w:color w:val="auto"/>
          <w:sz w:val="24"/>
          <w:szCs w:val="24"/>
        </w:rPr>
        <w:t>them, aligns closely with the mission of UAF, Alaska’s Land, Sea, and Space Grant university. UAF aims</w:t>
      </w:r>
      <w:r>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to educate undergraduate students, graduate students, and lifelong learners, to create and disseminate new</w:t>
      </w:r>
      <w:r>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knowledge, to prepare Alaska's career, technical, and professional workforce, to connect to urban, rural,</w:t>
      </w:r>
      <w:r>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and Alaska Native communities by sharing knowledge and ways of knowing, and to engage Alaskans</w:t>
      </w:r>
      <w:r>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through outreach for continuing education and community and economic development. The objectives of</w:t>
      </w:r>
      <w:r>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the MMP also align with the mission of UAS, which aspires to serve the coastal environments, cultures,</w:t>
      </w:r>
      <w:r>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economies, and communities of Alaska through interdisciplinary education, workforce development, and</w:t>
      </w:r>
      <w:r>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scholarship, research, and creative activity.</w:t>
      </w:r>
    </w:p>
    <w:p w14:paraId="4436E73E" w14:textId="602F8E5C" w:rsidR="002E4890" w:rsidRPr="002E4890" w:rsidRDefault="002E4890" w:rsidP="002E4890">
      <w:pPr>
        <w:tabs>
          <w:tab w:val="left" w:pos="935"/>
          <w:tab w:val="left" w:pos="1080"/>
        </w:tabs>
        <w:spacing w:before="120"/>
        <w:ind w:left="360" w:hanging="360"/>
        <w:rPr>
          <w:rStyle w:val="fontstyle01"/>
          <w:rFonts w:ascii="Times New Roman" w:hAnsi="Times New Roman"/>
          <w:color w:val="auto"/>
          <w:sz w:val="24"/>
          <w:szCs w:val="24"/>
        </w:rPr>
      </w:pPr>
      <w:r w:rsidRPr="002E4890">
        <w:rPr>
          <w:rStyle w:val="fontstyle01"/>
          <w:rFonts w:ascii="Times New Roman" w:hAnsi="Times New Roman"/>
          <w:color w:val="auto"/>
          <w:sz w:val="24"/>
          <w:szCs w:val="24"/>
        </w:rPr>
        <w:t>The MMP program will advance goals set out in UAF’s Strategic Plan by</w:t>
      </w:r>
      <w:r w:rsidRPr="002E4890">
        <w:rPr>
          <w:sz w:val="24"/>
          <w:szCs w:val="24"/>
        </w:rPr>
        <w:br/>
      </w:r>
      <w:r w:rsidRPr="002E4890">
        <w:rPr>
          <w:rStyle w:val="fontstyle01"/>
          <w:rFonts w:ascii="Times New Roman" w:hAnsi="Times New Roman"/>
          <w:color w:val="auto"/>
          <w:sz w:val="24"/>
          <w:szCs w:val="24"/>
        </w:rPr>
        <w:t xml:space="preserve">a. </w:t>
      </w:r>
      <w:r w:rsidRPr="002E4890">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Modernizing the student experience through experiential education and civic engagement;</w:t>
      </w:r>
      <w:r w:rsidRPr="002E4890">
        <w:rPr>
          <w:sz w:val="24"/>
          <w:szCs w:val="24"/>
        </w:rPr>
        <w:br/>
      </w:r>
      <w:r w:rsidRPr="002E4890">
        <w:rPr>
          <w:rStyle w:val="fontstyle01"/>
          <w:rFonts w:ascii="Times New Roman" w:hAnsi="Times New Roman"/>
          <w:color w:val="auto"/>
          <w:sz w:val="24"/>
          <w:szCs w:val="24"/>
        </w:rPr>
        <w:t xml:space="preserve">b. </w:t>
      </w:r>
      <w:r w:rsidRPr="002E4890">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Preparing graduates to engage in a participatory approach to the development and analysis of public</w:t>
      </w:r>
      <w:r w:rsidRPr="002E4890">
        <w:rPr>
          <w:sz w:val="24"/>
          <w:szCs w:val="24"/>
        </w:rPr>
        <w:br/>
      </w:r>
      <w:r w:rsidRPr="002E4890">
        <w:rPr>
          <w:rStyle w:val="fontstyle01"/>
          <w:rFonts w:ascii="Times New Roman" w:hAnsi="Times New Roman"/>
          <w:color w:val="auto"/>
          <w:sz w:val="24"/>
          <w:szCs w:val="24"/>
        </w:rPr>
        <w:t>policy affecting marine social-ecological systems;</w:t>
      </w:r>
      <w:r w:rsidRPr="002E4890">
        <w:rPr>
          <w:sz w:val="24"/>
          <w:szCs w:val="24"/>
        </w:rPr>
        <w:br/>
      </w:r>
      <w:r w:rsidRPr="002E4890">
        <w:rPr>
          <w:rStyle w:val="fontstyle01"/>
          <w:rFonts w:ascii="Times New Roman" w:hAnsi="Times New Roman"/>
          <w:color w:val="auto"/>
          <w:sz w:val="24"/>
          <w:szCs w:val="24"/>
        </w:rPr>
        <w:t xml:space="preserve">c. </w:t>
      </w:r>
      <w:r w:rsidRPr="002E4890">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Adding to UAF’s prominence as Alaska’s premier research enterprise in partnership with state and</w:t>
      </w:r>
      <w:r w:rsidRPr="002E4890">
        <w:rPr>
          <w:sz w:val="24"/>
          <w:szCs w:val="24"/>
        </w:rPr>
        <w:br/>
      </w:r>
      <w:r w:rsidRPr="002E4890">
        <w:rPr>
          <w:rStyle w:val="fontstyle01"/>
          <w:rFonts w:ascii="Times New Roman" w:hAnsi="Times New Roman"/>
          <w:color w:val="auto"/>
          <w:sz w:val="24"/>
          <w:szCs w:val="24"/>
        </w:rPr>
        <w:t>federal agencies, industry, Alaska Native organizations, and civic groups;</w:t>
      </w:r>
      <w:r w:rsidRPr="002E4890">
        <w:rPr>
          <w:sz w:val="24"/>
          <w:szCs w:val="24"/>
        </w:rPr>
        <w:br/>
      </w:r>
      <w:r w:rsidRPr="002E4890">
        <w:rPr>
          <w:rStyle w:val="fontstyle01"/>
          <w:rFonts w:ascii="Times New Roman" w:hAnsi="Times New Roman"/>
          <w:color w:val="auto"/>
          <w:sz w:val="24"/>
          <w:szCs w:val="24"/>
        </w:rPr>
        <w:t xml:space="preserve">d. </w:t>
      </w:r>
      <w:r w:rsidRPr="002E4890">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Filling a gap in the suite of programs that combine to secure UAF’s leadership in the science that</w:t>
      </w:r>
      <w:r w:rsidRPr="002E4890">
        <w:rPr>
          <w:sz w:val="24"/>
          <w:szCs w:val="24"/>
        </w:rPr>
        <w:br/>
      </w:r>
      <w:r w:rsidRPr="002E4890">
        <w:rPr>
          <w:rStyle w:val="fontstyle01"/>
          <w:rFonts w:ascii="Times New Roman" w:hAnsi="Times New Roman"/>
          <w:color w:val="auto"/>
          <w:sz w:val="24"/>
          <w:szCs w:val="24"/>
        </w:rPr>
        <w:t>underpins public policy that governs the management of circumpolar marine social-ecological</w:t>
      </w:r>
      <w:r w:rsidRPr="002E4890">
        <w:rPr>
          <w:sz w:val="24"/>
          <w:szCs w:val="24"/>
        </w:rPr>
        <w:br/>
      </w:r>
      <w:r w:rsidRPr="002E4890">
        <w:rPr>
          <w:rStyle w:val="fontstyle01"/>
          <w:rFonts w:ascii="Times New Roman" w:hAnsi="Times New Roman"/>
          <w:color w:val="auto"/>
          <w:sz w:val="24"/>
          <w:szCs w:val="24"/>
        </w:rPr>
        <w:t>systems.</w:t>
      </w:r>
    </w:p>
    <w:p w14:paraId="78601CE7" w14:textId="0AD4A988" w:rsidR="00100B3F" w:rsidRPr="002E4890" w:rsidRDefault="002E4890" w:rsidP="002E4890">
      <w:pPr>
        <w:tabs>
          <w:tab w:val="left" w:pos="935"/>
          <w:tab w:val="left" w:pos="1080"/>
        </w:tabs>
        <w:spacing w:before="120"/>
        <w:ind w:left="360" w:hanging="360"/>
        <w:rPr>
          <w:b/>
          <w:sz w:val="24"/>
          <w:szCs w:val="24"/>
        </w:rPr>
      </w:pPr>
      <w:r w:rsidRPr="002E4890">
        <w:rPr>
          <w:rStyle w:val="fontstyle01"/>
          <w:rFonts w:ascii="Times New Roman" w:hAnsi="Times New Roman"/>
          <w:color w:val="auto"/>
          <w:sz w:val="24"/>
          <w:szCs w:val="24"/>
        </w:rPr>
        <w:t>The MMP program will also advance goals set out in UAS’s Strategic Plan by</w:t>
      </w:r>
      <w:r w:rsidRPr="002E4890">
        <w:rPr>
          <w:sz w:val="24"/>
          <w:szCs w:val="24"/>
        </w:rPr>
        <w:br/>
      </w:r>
      <w:r w:rsidRPr="002E4890">
        <w:rPr>
          <w:rStyle w:val="fontstyle01"/>
          <w:rFonts w:ascii="Times New Roman" w:hAnsi="Times New Roman"/>
          <w:color w:val="auto"/>
          <w:sz w:val="24"/>
          <w:szCs w:val="24"/>
        </w:rPr>
        <w:t xml:space="preserve">a. </w:t>
      </w:r>
      <w:r w:rsidRPr="002E4890">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Creating a straightforward pathway for graduating seniors and current professionals to earn a</w:t>
      </w:r>
      <w:r w:rsidRPr="002E4890">
        <w:rPr>
          <w:sz w:val="24"/>
          <w:szCs w:val="24"/>
        </w:rPr>
        <w:br/>
      </w:r>
      <w:r w:rsidRPr="002E4890">
        <w:rPr>
          <w:rStyle w:val="fontstyle01"/>
          <w:rFonts w:ascii="Times New Roman" w:hAnsi="Times New Roman"/>
          <w:color w:val="auto"/>
          <w:sz w:val="24"/>
          <w:szCs w:val="24"/>
        </w:rPr>
        <w:t>career-focused graduate degree.</w:t>
      </w:r>
      <w:r w:rsidRPr="002E4890">
        <w:rPr>
          <w:sz w:val="24"/>
          <w:szCs w:val="24"/>
        </w:rPr>
        <w:br/>
      </w:r>
      <w:r w:rsidRPr="002E4890">
        <w:rPr>
          <w:rStyle w:val="fontstyle01"/>
          <w:rFonts w:ascii="Times New Roman" w:hAnsi="Times New Roman"/>
          <w:color w:val="auto"/>
          <w:sz w:val="24"/>
          <w:szCs w:val="24"/>
        </w:rPr>
        <w:t xml:space="preserve">b. </w:t>
      </w:r>
      <w:r w:rsidRPr="002E4890">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Providing a pool of qualified Alaska-trained candidates to fill marine policy analyst positions in</w:t>
      </w:r>
      <w:r w:rsidRPr="002E4890">
        <w:rPr>
          <w:sz w:val="24"/>
          <w:szCs w:val="24"/>
        </w:rPr>
        <w:br/>
      </w:r>
      <w:r w:rsidRPr="002E4890">
        <w:rPr>
          <w:rStyle w:val="fontstyle01"/>
          <w:rFonts w:ascii="Times New Roman" w:hAnsi="Times New Roman"/>
          <w:color w:val="auto"/>
          <w:sz w:val="24"/>
          <w:szCs w:val="24"/>
        </w:rPr>
        <w:t>state and federal resource management agencies, local government, tribes, and commercial and</w:t>
      </w:r>
      <w:r w:rsidRPr="002E4890">
        <w:rPr>
          <w:sz w:val="24"/>
          <w:szCs w:val="24"/>
        </w:rPr>
        <w:br/>
      </w:r>
      <w:r w:rsidRPr="002E4890">
        <w:rPr>
          <w:rStyle w:val="fontstyle01"/>
          <w:rFonts w:ascii="Times New Roman" w:hAnsi="Times New Roman"/>
          <w:color w:val="auto"/>
          <w:sz w:val="24"/>
          <w:szCs w:val="24"/>
        </w:rPr>
        <w:t>non-commercial interest groups;</w:t>
      </w:r>
      <w:r w:rsidRPr="002E4890">
        <w:rPr>
          <w:sz w:val="24"/>
          <w:szCs w:val="24"/>
        </w:rPr>
        <w:br/>
      </w:r>
      <w:r w:rsidRPr="002E4890">
        <w:rPr>
          <w:rStyle w:val="fontstyle01"/>
          <w:rFonts w:ascii="Times New Roman" w:hAnsi="Times New Roman"/>
          <w:color w:val="auto"/>
          <w:sz w:val="24"/>
          <w:szCs w:val="24"/>
        </w:rPr>
        <w:t xml:space="preserve">c. </w:t>
      </w:r>
      <w:r w:rsidRPr="002E4890">
        <w:rPr>
          <w:rStyle w:val="fontstyle01"/>
          <w:rFonts w:ascii="Times New Roman" w:hAnsi="Times New Roman"/>
          <w:color w:val="auto"/>
          <w:sz w:val="24"/>
          <w:szCs w:val="24"/>
        </w:rPr>
        <w:t xml:space="preserve">  </w:t>
      </w:r>
      <w:r w:rsidRPr="002E4890">
        <w:rPr>
          <w:rStyle w:val="fontstyle01"/>
          <w:rFonts w:ascii="Times New Roman" w:hAnsi="Times New Roman"/>
          <w:color w:val="auto"/>
          <w:sz w:val="24"/>
          <w:szCs w:val="24"/>
        </w:rPr>
        <w:t>Engaging with local, regional, state, and national governments to explore the consequences and</w:t>
      </w:r>
      <w:r w:rsidRPr="002E4890">
        <w:rPr>
          <w:sz w:val="24"/>
          <w:szCs w:val="24"/>
        </w:rPr>
        <w:br/>
      </w:r>
      <w:r w:rsidRPr="002E4890">
        <w:rPr>
          <w:rStyle w:val="fontstyle01"/>
          <w:rFonts w:ascii="Times New Roman" w:hAnsi="Times New Roman"/>
          <w:color w:val="auto"/>
          <w:sz w:val="24"/>
          <w:szCs w:val="24"/>
        </w:rPr>
        <w:t>ramifications of recognizing and facilitating the shared governance of living marine resources in</w:t>
      </w:r>
      <w:r w:rsidRPr="002E4890">
        <w:rPr>
          <w:sz w:val="24"/>
          <w:szCs w:val="24"/>
        </w:rPr>
        <w:br/>
      </w:r>
      <w:r w:rsidRPr="002E4890">
        <w:rPr>
          <w:rStyle w:val="fontstyle01"/>
          <w:rFonts w:ascii="Times New Roman" w:hAnsi="Times New Roman"/>
          <w:color w:val="auto"/>
          <w:sz w:val="24"/>
          <w:szCs w:val="24"/>
        </w:rPr>
        <w:t>increasingly responsive and accessible ways that enhance individuals and communities' social,</w:t>
      </w:r>
      <w:r w:rsidRPr="002E4890">
        <w:rPr>
          <w:sz w:val="24"/>
          <w:szCs w:val="24"/>
        </w:rPr>
        <w:br/>
      </w:r>
      <w:r w:rsidRPr="002E4890">
        <w:rPr>
          <w:rStyle w:val="fontstyle01"/>
          <w:rFonts w:ascii="Times New Roman" w:hAnsi="Times New Roman"/>
          <w:color w:val="auto"/>
          <w:sz w:val="24"/>
          <w:szCs w:val="24"/>
        </w:rPr>
        <w:t>economic, and environmental well-being.</w:t>
      </w:r>
    </w:p>
    <w:p w14:paraId="1A41C7F3" w14:textId="77777777" w:rsidR="00100B3F" w:rsidRPr="006A6768" w:rsidRDefault="00100B3F" w:rsidP="004B667D">
      <w:pPr>
        <w:spacing w:before="120"/>
        <w:ind w:left="374"/>
        <w:rPr>
          <w:sz w:val="24"/>
          <w:szCs w:val="24"/>
        </w:rPr>
      </w:pPr>
    </w:p>
    <w:p w14:paraId="68A07CD5" w14:textId="77777777" w:rsidR="00100B3F" w:rsidRPr="006A6768" w:rsidRDefault="00100B3F">
      <w:pPr>
        <w:tabs>
          <w:tab w:val="left" w:pos="935"/>
        </w:tabs>
        <w:spacing w:before="120"/>
        <w:rPr>
          <w:b/>
          <w:sz w:val="24"/>
          <w:szCs w:val="24"/>
        </w:rPr>
      </w:pPr>
      <w:r w:rsidRPr="006A6768">
        <w:rPr>
          <w:b/>
          <w:sz w:val="24"/>
          <w:szCs w:val="24"/>
        </w:rPr>
        <w:t xml:space="preserve">B. </w:t>
      </w:r>
      <w:r w:rsidR="004B667D">
        <w:rPr>
          <w:b/>
          <w:sz w:val="24"/>
          <w:szCs w:val="24"/>
        </w:rPr>
        <w:t xml:space="preserve"> </w:t>
      </w:r>
      <w:r w:rsidRPr="006A6768">
        <w:rPr>
          <w:b/>
          <w:sz w:val="24"/>
          <w:szCs w:val="24"/>
        </w:rPr>
        <w:t xml:space="preserve">Authorization: </w:t>
      </w:r>
    </w:p>
    <w:p w14:paraId="6FE1E320" w14:textId="77777777" w:rsidR="00100B3F" w:rsidRPr="006A6768" w:rsidRDefault="00100B3F" w:rsidP="004B667D">
      <w:pPr>
        <w:spacing w:before="120"/>
        <w:ind w:left="374"/>
        <w:rPr>
          <w:sz w:val="24"/>
          <w:szCs w:val="24"/>
        </w:rPr>
      </w:pPr>
      <w:r w:rsidRPr="006A6768">
        <w:rPr>
          <w:sz w:val="24"/>
          <w:szCs w:val="24"/>
        </w:rPr>
        <w:t>The University of Alaska</w:t>
      </w:r>
      <w:r w:rsidR="005F6024">
        <w:rPr>
          <w:sz w:val="24"/>
          <w:szCs w:val="24"/>
        </w:rPr>
        <w:t xml:space="preserve"> Fairbanks (UAF) is one of four</w:t>
      </w:r>
      <w:r w:rsidRPr="006A6768">
        <w:rPr>
          <w:sz w:val="24"/>
          <w:szCs w:val="24"/>
        </w:rPr>
        <w:t xml:space="preserve"> individually accredited universities within the </w:t>
      </w:r>
      <w:smartTag w:uri="urn:schemas-microsoft-com:office:smarttags" w:element="place">
        <w:smartTag w:uri="urn:schemas-microsoft-com:office:smarttags" w:element="PlaceType">
          <w:r w:rsidRPr="006A6768">
            <w:rPr>
              <w:sz w:val="24"/>
              <w:szCs w:val="24"/>
            </w:rPr>
            <w:t>University</w:t>
          </w:r>
        </w:smartTag>
        <w:r w:rsidRPr="006A6768">
          <w:rPr>
            <w:sz w:val="24"/>
            <w:szCs w:val="24"/>
          </w:rPr>
          <w:t xml:space="preserve"> of </w:t>
        </w:r>
        <w:smartTag w:uri="urn:schemas-microsoft-com:office:smarttags" w:element="PlaceName">
          <w:r w:rsidRPr="006A6768">
            <w:rPr>
              <w:sz w:val="24"/>
              <w:szCs w:val="24"/>
            </w:rPr>
            <w:t>Alaska</w:t>
          </w:r>
        </w:smartTag>
      </w:smartTag>
      <w:r w:rsidRPr="006A6768">
        <w:rPr>
          <w:sz w:val="24"/>
          <w:szCs w:val="24"/>
        </w:rPr>
        <w:t xml:space="preserve"> system. UAF has been continuously accredited since 1934 by the </w:t>
      </w:r>
      <w:r w:rsidR="005F6024">
        <w:rPr>
          <w:sz w:val="24"/>
          <w:szCs w:val="24"/>
        </w:rPr>
        <w:t xml:space="preserve">Northwest </w:t>
      </w:r>
      <w:r w:rsidRPr="006A6768">
        <w:rPr>
          <w:sz w:val="24"/>
          <w:szCs w:val="24"/>
        </w:rPr>
        <w:t>Commission on Colleges and Universities</w:t>
      </w:r>
      <w:r w:rsidR="005F6024">
        <w:rPr>
          <w:sz w:val="24"/>
          <w:szCs w:val="24"/>
        </w:rPr>
        <w:t>.</w:t>
      </w:r>
      <w:r w:rsidRPr="006A6768">
        <w:rPr>
          <w:sz w:val="24"/>
          <w:szCs w:val="24"/>
        </w:rPr>
        <w:t xml:space="preserve"> </w:t>
      </w:r>
    </w:p>
    <w:p w14:paraId="47D3241B" w14:textId="77777777" w:rsidR="00100B3F" w:rsidRPr="006A6768" w:rsidRDefault="00100B3F" w:rsidP="004B667D">
      <w:pPr>
        <w:spacing w:before="120"/>
        <w:ind w:left="374"/>
        <w:rPr>
          <w:sz w:val="24"/>
          <w:szCs w:val="24"/>
        </w:rPr>
      </w:pPr>
      <w:r w:rsidRPr="006A6768">
        <w:rPr>
          <w:sz w:val="24"/>
          <w:szCs w:val="24"/>
        </w:rPr>
        <w:lastRenderedPageBreak/>
        <w:t xml:space="preserve">The Constitution of the State of </w:t>
      </w:r>
      <w:smartTag w:uri="urn:schemas-microsoft-com:office:smarttags" w:element="State">
        <w:r w:rsidRPr="006A6768">
          <w:rPr>
            <w:sz w:val="24"/>
            <w:szCs w:val="24"/>
          </w:rPr>
          <w:t>Alaska</w:t>
        </w:r>
      </w:smartTag>
      <w:r w:rsidRPr="006A6768">
        <w:rPr>
          <w:sz w:val="24"/>
          <w:szCs w:val="24"/>
        </w:rPr>
        <w:t xml:space="preserve"> establishes the </w:t>
      </w:r>
      <w:smartTag w:uri="urn:schemas-microsoft-com:office:smarttags" w:element="place">
        <w:smartTag w:uri="urn:schemas-microsoft-com:office:smarttags" w:element="PlaceType">
          <w:r w:rsidRPr="006A6768">
            <w:rPr>
              <w:sz w:val="24"/>
              <w:szCs w:val="24"/>
            </w:rPr>
            <w:t>University</w:t>
          </w:r>
        </w:smartTag>
        <w:r w:rsidRPr="006A6768">
          <w:rPr>
            <w:sz w:val="24"/>
            <w:szCs w:val="24"/>
          </w:rPr>
          <w:t xml:space="preserve"> of </w:t>
        </w:r>
        <w:smartTag w:uri="urn:schemas-microsoft-com:office:smarttags" w:element="PlaceName">
          <w:r w:rsidRPr="006A6768">
            <w:rPr>
              <w:sz w:val="24"/>
              <w:szCs w:val="24"/>
            </w:rPr>
            <w:t>Alaska</w:t>
          </w:r>
        </w:smartTag>
      </w:smartTag>
      <w:r w:rsidRPr="006A6768">
        <w:rPr>
          <w:sz w:val="24"/>
          <w:szCs w:val="24"/>
        </w:rPr>
        <w:t xml:space="preserve"> as the state university, governed by a Board of Regents appointed by the governor. Alaska Statutes provide for a board of eleven voting members, including one student, with authority to carry out the mission of the university system and its constituent units, including the determination and regulation of the university’s course of instruction and the conferring of degrees. Members of the board have no contractual, employment, or financial interest in the university. The chair is elected from among the board. The board appoints the president of the university system, who in turn appoints the chancellor of UAF. Both officers are full-time employees whose only responsibility is to the institution</w:t>
      </w:r>
    </w:p>
    <w:p w14:paraId="0A1D05CA" w14:textId="77777777" w:rsidR="00100B3F" w:rsidRPr="006A6768" w:rsidRDefault="00100B3F">
      <w:pPr>
        <w:tabs>
          <w:tab w:val="left" w:pos="935"/>
        </w:tabs>
        <w:spacing w:before="120"/>
        <w:ind w:left="935" w:hanging="561"/>
        <w:rPr>
          <w:sz w:val="24"/>
          <w:szCs w:val="24"/>
        </w:rPr>
      </w:pPr>
    </w:p>
    <w:p w14:paraId="1673D207" w14:textId="77777777" w:rsidR="00100B3F" w:rsidRPr="006A6768" w:rsidRDefault="00100B3F">
      <w:pPr>
        <w:tabs>
          <w:tab w:val="left" w:pos="935"/>
        </w:tabs>
        <w:spacing w:before="120"/>
        <w:rPr>
          <w:b/>
          <w:sz w:val="24"/>
          <w:szCs w:val="24"/>
        </w:rPr>
      </w:pPr>
      <w:r w:rsidRPr="006A6768">
        <w:rPr>
          <w:b/>
          <w:sz w:val="24"/>
          <w:szCs w:val="24"/>
        </w:rPr>
        <w:t xml:space="preserve">C. </w:t>
      </w:r>
      <w:r w:rsidR="004B667D">
        <w:rPr>
          <w:b/>
          <w:sz w:val="24"/>
          <w:szCs w:val="24"/>
        </w:rPr>
        <w:t xml:space="preserve"> </w:t>
      </w:r>
      <w:r w:rsidRPr="006A6768">
        <w:rPr>
          <w:b/>
          <w:sz w:val="24"/>
          <w:szCs w:val="24"/>
        </w:rPr>
        <w:t xml:space="preserve">Educational Offerings: </w:t>
      </w:r>
    </w:p>
    <w:p w14:paraId="744D207F" w14:textId="63534FF6" w:rsidR="006A6768" w:rsidRPr="00EC6F15" w:rsidRDefault="007900B4" w:rsidP="004B667D">
      <w:pPr>
        <w:numPr>
          <w:ilvl w:val="0"/>
          <w:numId w:val="9"/>
        </w:numPr>
        <w:tabs>
          <w:tab w:val="clear" w:pos="720"/>
        </w:tabs>
        <w:spacing w:before="120"/>
        <w:ind w:left="374"/>
        <w:rPr>
          <w:b/>
          <w:sz w:val="24"/>
          <w:szCs w:val="24"/>
        </w:rPr>
      </w:pPr>
      <w:r>
        <w:rPr>
          <w:b/>
          <w:sz w:val="24"/>
          <w:szCs w:val="24"/>
        </w:rPr>
        <w:t>Descriptive information of the educational offering(s)</w:t>
      </w:r>
      <w:r w:rsidR="002B386F">
        <w:rPr>
          <w:b/>
          <w:sz w:val="24"/>
          <w:szCs w:val="24"/>
        </w:rPr>
        <w:t xml:space="preserve"> </w:t>
      </w:r>
      <w:r w:rsidR="002B386F" w:rsidRPr="00EC6F15">
        <w:rPr>
          <w:b/>
          <w:sz w:val="24"/>
          <w:szCs w:val="24"/>
        </w:rPr>
        <w:t>including credits to completion, courses by title and assigned academic credit granted</w:t>
      </w:r>
      <w:r w:rsidRPr="00EC6F15">
        <w:rPr>
          <w:b/>
          <w:sz w:val="24"/>
          <w:szCs w:val="24"/>
        </w:rPr>
        <w:t>:</w:t>
      </w:r>
    </w:p>
    <w:p w14:paraId="0E2F7466" w14:textId="509314B7" w:rsidR="002E4890" w:rsidRPr="001A137F" w:rsidRDefault="001A137F" w:rsidP="002E4890">
      <w:pPr>
        <w:spacing w:before="120"/>
        <w:ind w:left="374"/>
        <w:rPr>
          <w:sz w:val="24"/>
          <w:szCs w:val="24"/>
        </w:rPr>
      </w:pPr>
      <w:r w:rsidRPr="001A137F">
        <w:rPr>
          <w:sz w:val="24"/>
          <w:szCs w:val="24"/>
        </w:rPr>
        <w:t>The requirements and areas of concentration, with all applicable courses with title and credits, are</w:t>
      </w:r>
      <w:r w:rsidRPr="001A137F">
        <w:rPr>
          <w:sz w:val="24"/>
          <w:szCs w:val="24"/>
        </w:rPr>
        <w:br/>
        <w:t xml:space="preserve">outlined </w:t>
      </w:r>
      <w:r w:rsidR="00303204">
        <w:rPr>
          <w:sz w:val="24"/>
          <w:szCs w:val="24"/>
        </w:rPr>
        <w:t>in</w:t>
      </w:r>
      <w:r w:rsidRPr="001A137F">
        <w:rPr>
          <w:sz w:val="24"/>
          <w:szCs w:val="24"/>
        </w:rPr>
        <w:t xml:space="preserve"> the </w:t>
      </w:r>
      <w:proofErr w:type="spellStart"/>
      <w:r w:rsidR="00303204">
        <w:rPr>
          <w:sz w:val="24"/>
          <w:szCs w:val="24"/>
        </w:rPr>
        <w:t>CourseLeaf</w:t>
      </w:r>
      <w:proofErr w:type="spellEnd"/>
      <w:r w:rsidRPr="001A137F">
        <w:rPr>
          <w:sz w:val="24"/>
          <w:szCs w:val="24"/>
        </w:rPr>
        <w:t xml:space="preserve"> proposal. Due to the </w:t>
      </w:r>
      <w:r>
        <w:rPr>
          <w:sz w:val="24"/>
          <w:szCs w:val="24"/>
        </w:rPr>
        <w:t>c</w:t>
      </w:r>
      <w:r w:rsidRPr="001A137F">
        <w:rPr>
          <w:sz w:val="24"/>
          <w:szCs w:val="24"/>
        </w:rPr>
        <w:t>oncentration</w:t>
      </w:r>
      <w:r>
        <w:rPr>
          <w:sz w:val="24"/>
          <w:szCs w:val="24"/>
        </w:rPr>
        <w:t xml:space="preserve"> </w:t>
      </w:r>
      <w:r w:rsidRPr="001A137F">
        <w:rPr>
          <w:sz w:val="24"/>
          <w:szCs w:val="24"/>
        </w:rPr>
        <w:t>options, there are far too many course options to list out here.</w:t>
      </w:r>
    </w:p>
    <w:p w14:paraId="1856AC65" w14:textId="6873E11C" w:rsidR="002B386F" w:rsidRPr="001A137F" w:rsidRDefault="002B386F" w:rsidP="004B667D">
      <w:pPr>
        <w:numPr>
          <w:ilvl w:val="0"/>
          <w:numId w:val="9"/>
        </w:numPr>
        <w:tabs>
          <w:tab w:val="clear" w:pos="720"/>
        </w:tabs>
        <w:spacing w:before="120"/>
        <w:ind w:left="374"/>
        <w:rPr>
          <w:b/>
          <w:sz w:val="24"/>
          <w:szCs w:val="24"/>
        </w:rPr>
      </w:pPr>
      <w:r w:rsidRPr="001A137F">
        <w:rPr>
          <w:b/>
          <w:sz w:val="24"/>
          <w:szCs w:val="24"/>
        </w:rPr>
        <w:t>Description of the method of instructional delivery (</w:t>
      </w:r>
      <w:proofErr w:type="spellStart"/>
      <w:r w:rsidRPr="001A137F">
        <w:rPr>
          <w:b/>
          <w:sz w:val="24"/>
          <w:szCs w:val="24"/>
        </w:rPr>
        <w:t>ie</w:t>
      </w:r>
      <w:proofErr w:type="spellEnd"/>
      <w:r w:rsidRPr="001A137F">
        <w:rPr>
          <w:b/>
          <w:sz w:val="24"/>
          <w:szCs w:val="24"/>
        </w:rPr>
        <w:t xml:space="preserve">. </w:t>
      </w:r>
      <w:r w:rsidR="00A15CD4" w:rsidRPr="001A137F">
        <w:rPr>
          <w:b/>
          <w:sz w:val="24"/>
          <w:szCs w:val="24"/>
        </w:rPr>
        <w:t>Type of delivery, including percent of face-to-face, hybrid, distance delivery, and/or competency-based):</w:t>
      </w:r>
    </w:p>
    <w:p w14:paraId="50205D55" w14:textId="780395D2" w:rsidR="002B386F" w:rsidRPr="001A137F" w:rsidRDefault="001A137F" w:rsidP="001A137F">
      <w:pPr>
        <w:spacing w:before="120"/>
        <w:ind w:left="374"/>
        <w:rPr>
          <w:sz w:val="24"/>
          <w:szCs w:val="24"/>
        </w:rPr>
      </w:pPr>
      <w:r w:rsidRPr="001A137F">
        <w:rPr>
          <w:sz w:val="24"/>
          <w:szCs w:val="24"/>
        </w:rPr>
        <w:t>The delivery mode for required and elective courses is 2.6% Face-to-face, 97.4% hybrid, and 0%</w:t>
      </w:r>
      <w:r w:rsidRPr="001A137F">
        <w:rPr>
          <w:sz w:val="24"/>
          <w:szCs w:val="24"/>
        </w:rPr>
        <w:br/>
        <w:t>distance/asynchronous. Given that most course offerings will be available both in-person and distance</w:t>
      </w:r>
      <w:r>
        <w:rPr>
          <w:sz w:val="24"/>
          <w:szCs w:val="24"/>
        </w:rPr>
        <w:t xml:space="preserve"> </w:t>
      </w:r>
      <w:r w:rsidRPr="001A137F">
        <w:rPr>
          <w:sz w:val="24"/>
          <w:szCs w:val="24"/>
        </w:rPr>
        <w:t>(two-way synchronized delivery), greater than 50% of the program offerings could be taken via distance</w:t>
      </w:r>
      <w:r>
        <w:rPr>
          <w:sz w:val="24"/>
          <w:szCs w:val="24"/>
        </w:rPr>
        <w:t xml:space="preserve"> </w:t>
      </w:r>
      <w:r w:rsidRPr="001A137F">
        <w:rPr>
          <w:sz w:val="24"/>
          <w:szCs w:val="24"/>
        </w:rPr>
        <w:t>modality.</w:t>
      </w:r>
    </w:p>
    <w:p w14:paraId="6FEF7157" w14:textId="358E8A18" w:rsidR="002B386F" w:rsidRPr="00303204" w:rsidRDefault="00A15CD4" w:rsidP="004B667D">
      <w:pPr>
        <w:numPr>
          <w:ilvl w:val="0"/>
          <w:numId w:val="9"/>
        </w:numPr>
        <w:tabs>
          <w:tab w:val="clear" w:pos="720"/>
        </w:tabs>
        <w:spacing w:before="120"/>
        <w:ind w:left="374"/>
        <w:rPr>
          <w:b/>
          <w:sz w:val="24"/>
          <w:szCs w:val="24"/>
        </w:rPr>
      </w:pPr>
      <w:r w:rsidRPr="00303204">
        <w:rPr>
          <w:b/>
          <w:sz w:val="24"/>
          <w:szCs w:val="24"/>
        </w:rPr>
        <w:t>Description of expected student learning outcomes:</w:t>
      </w:r>
    </w:p>
    <w:p w14:paraId="61C35A7C" w14:textId="3C646A69" w:rsidR="00A15CD4" w:rsidRPr="00303204" w:rsidRDefault="00303204" w:rsidP="00303204">
      <w:pPr>
        <w:pStyle w:val="ListParagraph"/>
        <w:ind w:left="360"/>
        <w:rPr>
          <w:bCs/>
          <w:sz w:val="24"/>
          <w:szCs w:val="24"/>
        </w:rPr>
      </w:pPr>
      <w:r>
        <w:rPr>
          <w:bCs/>
          <w:sz w:val="24"/>
          <w:szCs w:val="24"/>
        </w:rPr>
        <w:t xml:space="preserve">Anticipated student learning outcomes are outlined in the </w:t>
      </w:r>
      <w:hyperlink r:id="rId7" w:history="1">
        <w:r w:rsidRPr="00303204">
          <w:rPr>
            <w:rStyle w:val="Hyperlink"/>
            <w:bCs/>
            <w:sz w:val="24"/>
            <w:szCs w:val="24"/>
          </w:rPr>
          <w:t>Student Learning Outcomes Assessment Plan</w:t>
        </w:r>
      </w:hyperlink>
      <w:r>
        <w:rPr>
          <w:bCs/>
          <w:sz w:val="24"/>
          <w:szCs w:val="24"/>
        </w:rPr>
        <w:t xml:space="preserve"> attached to the </w:t>
      </w:r>
      <w:proofErr w:type="spellStart"/>
      <w:r>
        <w:rPr>
          <w:bCs/>
          <w:sz w:val="24"/>
          <w:szCs w:val="24"/>
        </w:rPr>
        <w:t>CourseLeaf</w:t>
      </w:r>
      <w:proofErr w:type="spellEnd"/>
      <w:r>
        <w:rPr>
          <w:bCs/>
          <w:sz w:val="24"/>
          <w:szCs w:val="24"/>
        </w:rPr>
        <w:t xml:space="preserve"> proposal.</w:t>
      </w:r>
    </w:p>
    <w:p w14:paraId="6DCCB832" w14:textId="72990DBF" w:rsidR="00A15CD4" w:rsidRDefault="00A15CD4" w:rsidP="004B667D">
      <w:pPr>
        <w:numPr>
          <w:ilvl w:val="0"/>
          <w:numId w:val="9"/>
        </w:numPr>
        <w:tabs>
          <w:tab w:val="clear" w:pos="720"/>
        </w:tabs>
        <w:spacing w:before="120"/>
        <w:ind w:left="374"/>
        <w:rPr>
          <w:b/>
          <w:sz w:val="24"/>
          <w:szCs w:val="24"/>
        </w:rPr>
      </w:pPr>
      <w:r w:rsidRPr="00303204">
        <w:rPr>
          <w:b/>
          <w:sz w:val="24"/>
          <w:szCs w:val="24"/>
        </w:rPr>
        <w:t>Description of the assessment plan for student learning outcomes:</w:t>
      </w:r>
      <w:r w:rsidRPr="00303204">
        <w:rPr>
          <w:b/>
          <w:sz w:val="24"/>
          <w:szCs w:val="24"/>
        </w:rPr>
        <w:br/>
      </w:r>
      <w:r w:rsidR="00303204">
        <w:rPr>
          <w:bCs/>
          <w:sz w:val="24"/>
          <w:szCs w:val="24"/>
        </w:rPr>
        <w:t>T</w:t>
      </w:r>
      <w:r w:rsidR="00303204">
        <w:rPr>
          <w:bCs/>
          <w:sz w:val="24"/>
          <w:szCs w:val="24"/>
        </w:rPr>
        <w:t xml:space="preserve">he </w:t>
      </w:r>
      <w:hyperlink r:id="rId8" w:history="1">
        <w:r w:rsidR="00303204" w:rsidRPr="00303204">
          <w:rPr>
            <w:rStyle w:val="Hyperlink"/>
            <w:bCs/>
            <w:sz w:val="24"/>
            <w:szCs w:val="24"/>
          </w:rPr>
          <w:t>Student Learning Outcomes Assessment Plan</w:t>
        </w:r>
      </w:hyperlink>
      <w:r w:rsidR="00303204">
        <w:rPr>
          <w:bCs/>
          <w:sz w:val="24"/>
          <w:szCs w:val="24"/>
        </w:rPr>
        <w:t xml:space="preserve"> </w:t>
      </w:r>
      <w:r w:rsidR="00303204">
        <w:rPr>
          <w:bCs/>
          <w:sz w:val="24"/>
          <w:szCs w:val="24"/>
        </w:rPr>
        <w:t xml:space="preserve">is </w:t>
      </w:r>
      <w:r w:rsidR="00303204">
        <w:rPr>
          <w:bCs/>
          <w:sz w:val="24"/>
          <w:szCs w:val="24"/>
        </w:rPr>
        <w:t xml:space="preserve">attached to the </w:t>
      </w:r>
      <w:proofErr w:type="spellStart"/>
      <w:r w:rsidR="00303204">
        <w:rPr>
          <w:bCs/>
          <w:sz w:val="24"/>
          <w:szCs w:val="24"/>
        </w:rPr>
        <w:t>CourseLeaf</w:t>
      </w:r>
      <w:proofErr w:type="spellEnd"/>
      <w:r w:rsidR="00303204">
        <w:rPr>
          <w:bCs/>
          <w:sz w:val="24"/>
          <w:szCs w:val="24"/>
        </w:rPr>
        <w:t xml:space="preserve"> proposal.</w:t>
      </w:r>
    </w:p>
    <w:p w14:paraId="53F63326" w14:textId="04A95A07" w:rsidR="007900B4" w:rsidRDefault="007900B4" w:rsidP="004B667D">
      <w:pPr>
        <w:numPr>
          <w:ilvl w:val="0"/>
          <w:numId w:val="9"/>
        </w:numPr>
        <w:tabs>
          <w:tab w:val="clear" w:pos="720"/>
        </w:tabs>
        <w:spacing w:before="120"/>
        <w:ind w:left="374"/>
        <w:rPr>
          <w:b/>
          <w:sz w:val="24"/>
          <w:szCs w:val="24"/>
        </w:rPr>
      </w:pPr>
      <w:r>
        <w:rPr>
          <w:b/>
          <w:sz w:val="24"/>
          <w:szCs w:val="24"/>
        </w:rPr>
        <w:t>Evidence of approval by the appropriate academic policy body of the institution:</w:t>
      </w:r>
    </w:p>
    <w:p w14:paraId="27151245" w14:textId="77777777" w:rsidR="007900B4" w:rsidRPr="007900B4" w:rsidRDefault="007900B4" w:rsidP="004B667D">
      <w:pPr>
        <w:spacing w:before="120"/>
        <w:ind w:left="374"/>
        <w:rPr>
          <w:sz w:val="24"/>
          <w:szCs w:val="24"/>
        </w:rPr>
      </w:pPr>
      <w:r>
        <w:rPr>
          <w:sz w:val="24"/>
          <w:szCs w:val="24"/>
        </w:rPr>
        <w:t>Senate signature page and BOR approval from the minutes will be provided by the Office of the Provost.</w:t>
      </w:r>
    </w:p>
    <w:p w14:paraId="6E6AB642" w14:textId="77777777" w:rsidR="007900B4" w:rsidRPr="007900B4" w:rsidRDefault="007900B4" w:rsidP="007900B4">
      <w:pPr>
        <w:spacing w:before="120"/>
        <w:ind w:left="748"/>
        <w:rPr>
          <w:sz w:val="24"/>
          <w:szCs w:val="24"/>
        </w:rPr>
      </w:pPr>
    </w:p>
    <w:p w14:paraId="0EDEEFFA" w14:textId="77777777" w:rsidR="00100B3F" w:rsidRPr="006A6768" w:rsidRDefault="00100B3F">
      <w:pPr>
        <w:tabs>
          <w:tab w:val="left" w:pos="935"/>
          <w:tab w:val="left" w:pos="1080"/>
        </w:tabs>
        <w:spacing w:before="120"/>
        <w:rPr>
          <w:b/>
          <w:sz w:val="24"/>
          <w:szCs w:val="24"/>
        </w:rPr>
      </w:pPr>
      <w:r w:rsidRPr="006A6768">
        <w:rPr>
          <w:b/>
          <w:sz w:val="24"/>
          <w:szCs w:val="24"/>
        </w:rPr>
        <w:t xml:space="preserve">D. </w:t>
      </w:r>
      <w:r w:rsidR="004B667D">
        <w:rPr>
          <w:b/>
          <w:sz w:val="24"/>
          <w:szCs w:val="24"/>
        </w:rPr>
        <w:t xml:space="preserve"> </w:t>
      </w:r>
      <w:r w:rsidRPr="006A6768">
        <w:rPr>
          <w:b/>
          <w:sz w:val="24"/>
          <w:szCs w:val="24"/>
        </w:rPr>
        <w:t xml:space="preserve">Planning: </w:t>
      </w:r>
    </w:p>
    <w:p w14:paraId="19A8EFD0" w14:textId="42B9C797" w:rsidR="007900B4" w:rsidRPr="001A137F" w:rsidRDefault="008F3A02" w:rsidP="004B667D">
      <w:pPr>
        <w:widowControl w:val="0"/>
        <w:numPr>
          <w:ilvl w:val="0"/>
          <w:numId w:val="8"/>
        </w:numPr>
        <w:tabs>
          <w:tab w:val="clear" w:pos="720"/>
        </w:tabs>
        <w:spacing w:before="120"/>
        <w:ind w:left="374" w:right="-30"/>
        <w:outlineLvl w:val="1"/>
        <w:rPr>
          <w:b/>
          <w:sz w:val="24"/>
          <w:szCs w:val="24"/>
        </w:rPr>
      </w:pPr>
      <w:r w:rsidRPr="001A137F">
        <w:rPr>
          <w:b/>
          <w:sz w:val="24"/>
          <w:szCs w:val="24"/>
        </w:rPr>
        <w:t>Plans and descriptive materials indicating e</w:t>
      </w:r>
      <w:r w:rsidR="00100B3F" w:rsidRPr="001A137F">
        <w:rPr>
          <w:b/>
          <w:sz w:val="24"/>
          <w:szCs w:val="24"/>
        </w:rPr>
        <w:t>vidence of need for the change and the student</w:t>
      </w:r>
      <w:r w:rsidRPr="001A137F">
        <w:rPr>
          <w:b/>
          <w:sz w:val="24"/>
          <w:szCs w:val="24"/>
        </w:rPr>
        <w:t xml:space="preserve"> clientele</w:t>
      </w:r>
      <w:r w:rsidR="00100B3F" w:rsidRPr="001A137F">
        <w:rPr>
          <w:b/>
          <w:sz w:val="24"/>
          <w:szCs w:val="24"/>
        </w:rPr>
        <w:t xml:space="preserve"> to be served</w:t>
      </w:r>
      <w:r w:rsidRPr="001A137F">
        <w:rPr>
          <w:b/>
          <w:sz w:val="24"/>
          <w:szCs w:val="24"/>
        </w:rPr>
        <w:t xml:space="preserve"> (common resources include </w:t>
      </w:r>
      <w:hyperlink r:id="rId9" w:history="1">
        <w:r w:rsidRPr="001A137F">
          <w:rPr>
            <w:rStyle w:val="Hyperlink"/>
            <w:b/>
            <w:color w:val="auto"/>
            <w:sz w:val="24"/>
            <w:szCs w:val="24"/>
          </w:rPr>
          <w:t>EMSI</w:t>
        </w:r>
      </w:hyperlink>
      <w:r w:rsidRPr="001A137F">
        <w:rPr>
          <w:b/>
          <w:sz w:val="24"/>
          <w:szCs w:val="24"/>
        </w:rPr>
        <w:t xml:space="preserve"> and the </w:t>
      </w:r>
      <w:hyperlink r:id="rId10" w:history="1">
        <w:r w:rsidRPr="001A137F">
          <w:rPr>
            <w:rStyle w:val="Hyperlink"/>
            <w:b/>
            <w:color w:val="auto"/>
            <w:sz w:val="24"/>
            <w:szCs w:val="24"/>
          </w:rPr>
          <w:t>BLS Occupational Outlook Handbook</w:t>
        </w:r>
      </w:hyperlink>
      <w:r w:rsidRPr="001A137F">
        <w:rPr>
          <w:b/>
          <w:sz w:val="24"/>
          <w:szCs w:val="24"/>
        </w:rPr>
        <w:t>)</w:t>
      </w:r>
      <w:r w:rsidR="007900B4" w:rsidRPr="001A137F">
        <w:rPr>
          <w:b/>
          <w:sz w:val="24"/>
          <w:szCs w:val="24"/>
        </w:rPr>
        <w:t>:</w:t>
      </w:r>
    </w:p>
    <w:p w14:paraId="0104B590" w14:textId="74B15165" w:rsidR="007900B4" w:rsidRPr="007900B4" w:rsidRDefault="002E4890" w:rsidP="00303204">
      <w:pPr>
        <w:spacing w:before="120"/>
        <w:ind w:left="360"/>
        <w:rPr>
          <w:sz w:val="24"/>
          <w:szCs w:val="24"/>
        </w:rPr>
      </w:pPr>
      <w:r w:rsidRPr="002E4890">
        <w:rPr>
          <w:rStyle w:val="fontstyle01"/>
          <w:sz w:val="24"/>
          <w:szCs w:val="24"/>
        </w:rPr>
        <w:t>After discussions with agencies and other professional entities, faculty discovered that potential</w:t>
      </w:r>
      <w:r w:rsidRPr="002E4890">
        <w:rPr>
          <w:rFonts w:ascii="TimesNewRomanPSMT" w:hAnsi="TimesNewRomanPSMT"/>
          <w:color w:val="000000"/>
          <w:sz w:val="24"/>
          <w:szCs w:val="24"/>
        </w:rPr>
        <w:br/>
      </w:r>
      <w:r w:rsidRPr="002E4890">
        <w:rPr>
          <w:rStyle w:val="fontstyle01"/>
          <w:sz w:val="24"/>
          <w:szCs w:val="24"/>
        </w:rPr>
        <w:t>employers view an MMP positively. This view is affirmed by the results of the organization survey</w:t>
      </w:r>
      <w:r w:rsidRPr="002E4890">
        <w:rPr>
          <w:rFonts w:ascii="TimesNewRomanPSMT" w:hAnsi="TimesNewRomanPSMT"/>
          <w:color w:val="000000"/>
          <w:sz w:val="24"/>
          <w:szCs w:val="24"/>
        </w:rPr>
        <w:br/>
      </w:r>
      <w:r w:rsidRPr="002E4890">
        <w:rPr>
          <w:rStyle w:val="fontstyle01"/>
          <w:sz w:val="24"/>
          <w:szCs w:val="24"/>
        </w:rPr>
        <w:t>conducted by Brower Consulting Services. Although an MMP is not considered equal to an MS</w:t>
      </w:r>
      <w:r w:rsidRPr="002E4890">
        <w:rPr>
          <w:rFonts w:ascii="TimesNewRomanPSMT" w:hAnsi="TimesNewRomanPSMT"/>
          <w:color w:val="000000"/>
          <w:sz w:val="24"/>
          <w:szCs w:val="24"/>
        </w:rPr>
        <w:br/>
      </w:r>
      <w:r w:rsidRPr="002E4890">
        <w:rPr>
          <w:rStyle w:val="fontstyle01"/>
          <w:sz w:val="24"/>
          <w:szCs w:val="24"/>
        </w:rPr>
        <w:t xml:space="preserve">degree, it was considered preferable to a </w:t>
      </w:r>
      <w:proofErr w:type="gramStart"/>
      <w:r w:rsidRPr="002E4890">
        <w:rPr>
          <w:rStyle w:val="fontstyle01"/>
          <w:sz w:val="24"/>
          <w:szCs w:val="24"/>
        </w:rPr>
        <w:t>Bachelor’s</w:t>
      </w:r>
      <w:proofErr w:type="gramEnd"/>
      <w:r w:rsidRPr="002E4890">
        <w:rPr>
          <w:rStyle w:val="fontstyle01"/>
          <w:sz w:val="24"/>
          <w:szCs w:val="24"/>
        </w:rPr>
        <w:t xml:space="preserve"> degree. To earn an MS degree, students must</w:t>
      </w:r>
      <w:r w:rsidRPr="002E4890">
        <w:rPr>
          <w:rFonts w:ascii="TimesNewRomanPSMT" w:hAnsi="TimesNewRomanPSMT"/>
          <w:color w:val="000000"/>
          <w:sz w:val="24"/>
          <w:szCs w:val="24"/>
        </w:rPr>
        <w:br/>
      </w:r>
      <w:r w:rsidRPr="002E4890">
        <w:rPr>
          <w:rStyle w:val="fontstyle01"/>
          <w:sz w:val="24"/>
          <w:szCs w:val="24"/>
        </w:rPr>
        <w:t>generally complete independent research projects that take significant time and financial resources.</w:t>
      </w:r>
      <w:r w:rsidRPr="002E4890">
        <w:rPr>
          <w:rFonts w:ascii="TimesNewRomanPSMT" w:hAnsi="TimesNewRomanPSMT"/>
          <w:color w:val="000000"/>
          <w:sz w:val="24"/>
          <w:szCs w:val="24"/>
        </w:rPr>
        <w:br/>
      </w:r>
      <w:r w:rsidRPr="002E4890">
        <w:rPr>
          <w:rStyle w:val="fontstyle01"/>
          <w:sz w:val="24"/>
          <w:szCs w:val="24"/>
        </w:rPr>
        <w:t>Most MS students in related programs are funded through their advisor’s external grants because of</w:t>
      </w:r>
      <w:r w:rsidRPr="002E4890">
        <w:rPr>
          <w:rFonts w:ascii="TimesNewRomanPSMT" w:hAnsi="TimesNewRomanPSMT"/>
          <w:color w:val="000000"/>
          <w:sz w:val="24"/>
          <w:szCs w:val="24"/>
        </w:rPr>
        <w:br/>
      </w:r>
      <w:r w:rsidRPr="002E4890">
        <w:rPr>
          <w:rStyle w:val="fontstyle01"/>
          <w:sz w:val="24"/>
          <w:szCs w:val="24"/>
        </w:rPr>
        <w:t>the significant time commitment needed for independent research. The vicissitudes and rigor of</w:t>
      </w:r>
      <w:r w:rsidRPr="002E4890">
        <w:rPr>
          <w:sz w:val="24"/>
          <w:szCs w:val="24"/>
        </w:rPr>
        <w:br/>
      </w:r>
      <w:r w:rsidRPr="002E4890">
        <w:rPr>
          <w:rStyle w:val="fontstyle01"/>
          <w:sz w:val="24"/>
          <w:szCs w:val="24"/>
        </w:rPr>
        <w:t xml:space="preserve">scientific research often delay student completion such that MS degrees often take over three years to complete. A non-thesis MMP provides an expedited opportunity for students who want an </w:t>
      </w:r>
      <w:r w:rsidRPr="002E4890">
        <w:rPr>
          <w:rStyle w:val="fontstyle01"/>
          <w:sz w:val="24"/>
          <w:szCs w:val="24"/>
        </w:rPr>
        <w:lastRenderedPageBreak/>
        <w:t>advanced understanding of marine science and policy to enter the professional workforce in positions that do not require them to undertake original scientific research.</w:t>
      </w:r>
    </w:p>
    <w:p w14:paraId="2CB6153A" w14:textId="6C2ABDAD" w:rsidR="007900B4" w:rsidRPr="007900B4" w:rsidRDefault="00100B3F" w:rsidP="004B667D">
      <w:pPr>
        <w:widowControl w:val="0"/>
        <w:numPr>
          <w:ilvl w:val="0"/>
          <w:numId w:val="8"/>
        </w:numPr>
        <w:tabs>
          <w:tab w:val="clear" w:pos="720"/>
        </w:tabs>
        <w:spacing w:before="120"/>
        <w:ind w:left="374" w:right="-30"/>
        <w:outlineLvl w:val="1"/>
        <w:rPr>
          <w:b/>
          <w:sz w:val="24"/>
          <w:szCs w:val="24"/>
        </w:rPr>
      </w:pPr>
      <w:r w:rsidRPr="006A6768">
        <w:rPr>
          <w:b/>
          <w:sz w:val="24"/>
          <w:szCs w:val="24"/>
        </w:rPr>
        <w:t>The procedures used in arriving at the decision to change</w:t>
      </w:r>
      <w:r w:rsidR="007900B4">
        <w:rPr>
          <w:b/>
          <w:sz w:val="24"/>
          <w:szCs w:val="24"/>
        </w:rPr>
        <w:t>:</w:t>
      </w:r>
    </w:p>
    <w:p w14:paraId="484C7564" w14:textId="678BCBF8" w:rsidR="007900B4" w:rsidRPr="002E4890" w:rsidRDefault="002E4890" w:rsidP="002E4890">
      <w:pPr>
        <w:ind w:left="360"/>
        <w:rPr>
          <w:sz w:val="24"/>
          <w:szCs w:val="24"/>
        </w:rPr>
      </w:pPr>
      <w:r w:rsidRPr="002E4890">
        <w:rPr>
          <w:rFonts w:ascii="TimesNewRomanPSMT" w:hAnsi="TimesNewRomanPSMT"/>
          <w:color w:val="000000"/>
          <w:sz w:val="24"/>
          <w:szCs w:val="24"/>
        </w:rPr>
        <w:t>UAF and UAS faculty have had discussions with agencies and other professional entities to determine</w:t>
      </w:r>
      <w:r w:rsidRPr="002E4890">
        <w:rPr>
          <w:rFonts w:ascii="TimesNewRomanPSMT" w:hAnsi="TimesNewRomanPSMT"/>
          <w:color w:val="000000"/>
          <w:sz w:val="24"/>
          <w:szCs w:val="24"/>
        </w:rPr>
        <w:t xml:space="preserve"> </w:t>
      </w:r>
      <w:r w:rsidRPr="002E4890">
        <w:rPr>
          <w:rFonts w:ascii="TimesNewRomanPSMT" w:hAnsi="TimesNewRomanPSMT"/>
          <w:color w:val="000000"/>
          <w:sz w:val="24"/>
          <w:szCs w:val="24"/>
        </w:rPr>
        <w:t>the need for a Master of Marine Policy. For specific comments, see our letters of support</w:t>
      </w:r>
      <w:r w:rsidRPr="002E4890">
        <w:rPr>
          <w:rFonts w:ascii="TimesNewRomanPSMT" w:hAnsi="TimesNewRomanPSMT"/>
          <w:color w:val="000000"/>
          <w:sz w:val="24"/>
          <w:szCs w:val="24"/>
        </w:rPr>
        <w:t xml:space="preserve"> </w:t>
      </w:r>
      <w:r w:rsidRPr="002E4890">
        <w:rPr>
          <w:rFonts w:ascii="TimesNewRomanPSMT" w:hAnsi="TimesNewRomanPSMT"/>
          <w:color w:val="000000"/>
          <w:sz w:val="24"/>
          <w:szCs w:val="24"/>
        </w:rPr>
        <w:t>(Appendix 3). UAF CFOS and UAS SAS faculty have discussed the offering of this degree and have</w:t>
      </w:r>
      <w:r w:rsidRPr="002E4890">
        <w:rPr>
          <w:rFonts w:ascii="TimesNewRomanPSMT" w:hAnsi="TimesNewRomanPSMT"/>
          <w:color w:val="000000"/>
          <w:sz w:val="24"/>
          <w:szCs w:val="24"/>
        </w:rPr>
        <w:t xml:space="preserve"> </w:t>
      </w:r>
      <w:r w:rsidRPr="002E4890">
        <w:rPr>
          <w:rFonts w:ascii="TimesNewRomanPSMT" w:hAnsi="TimesNewRomanPSMT"/>
          <w:color w:val="000000"/>
          <w:sz w:val="24"/>
          <w:szCs w:val="24"/>
        </w:rPr>
        <w:t>concluded that the interest, perception, and available resources are such that going forward is</w:t>
      </w:r>
      <w:r w:rsidRPr="002E4890">
        <w:rPr>
          <w:rFonts w:ascii="TimesNewRomanPSMT" w:hAnsi="TimesNewRomanPSMT"/>
          <w:color w:val="000000"/>
          <w:sz w:val="24"/>
          <w:szCs w:val="24"/>
        </w:rPr>
        <w:t xml:space="preserve"> </w:t>
      </w:r>
      <w:r w:rsidRPr="002E4890">
        <w:rPr>
          <w:rFonts w:ascii="TimesNewRomanPSMT" w:hAnsi="TimesNewRomanPSMT"/>
          <w:color w:val="000000"/>
          <w:sz w:val="24"/>
          <w:szCs w:val="24"/>
        </w:rPr>
        <w:t>appropriate. In addition, UAS contracted with Brower Consulting Services to survey organizations,</w:t>
      </w:r>
      <w:r w:rsidRPr="002E4890">
        <w:rPr>
          <w:rFonts w:ascii="TimesNewRomanPSMT" w:hAnsi="TimesNewRomanPSMT"/>
          <w:color w:val="000000"/>
          <w:sz w:val="24"/>
          <w:szCs w:val="24"/>
        </w:rPr>
        <w:t xml:space="preserve"> </w:t>
      </w:r>
      <w:r w:rsidRPr="002E4890">
        <w:rPr>
          <w:rFonts w:ascii="TimesNewRomanPSMT" w:hAnsi="TimesNewRomanPSMT"/>
          <w:color w:val="000000"/>
          <w:sz w:val="24"/>
          <w:szCs w:val="24"/>
        </w:rPr>
        <w:t>students, and alumni. The final report from that contact is included in Appendix 3. The report</w:t>
      </w:r>
      <w:r w:rsidRPr="002E4890">
        <w:rPr>
          <w:rFonts w:ascii="TimesNewRomanPSMT" w:hAnsi="TimesNewRomanPSMT"/>
          <w:color w:val="000000"/>
          <w:sz w:val="24"/>
          <w:szCs w:val="24"/>
        </w:rPr>
        <w:t xml:space="preserve"> </w:t>
      </w:r>
      <w:r w:rsidRPr="002E4890">
        <w:rPr>
          <w:rFonts w:ascii="TimesNewRomanPSMT" w:hAnsi="TimesNewRomanPSMT"/>
          <w:color w:val="000000"/>
          <w:sz w:val="24"/>
          <w:szCs w:val="24"/>
        </w:rPr>
        <w:t>indicates strong student interest in the program and strong organizational interest in program</w:t>
      </w:r>
      <w:r w:rsidRPr="002E4890">
        <w:rPr>
          <w:rFonts w:ascii="TimesNewRomanPSMT" w:hAnsi="TimesNewRomanPSMT"/>
          <w:color w:val="000000"/>
          <w:sz w:val="24"/>
          <w:szCs w:val="24"/>
        </w:rPr>
        <w:t xml:space="preserve"> </w:t>
      </w:r>
      <w:r w:rsidRPr="002E4890">
        <w:rPr>
          <w:rFonts w:ascii="TimesNewRomanPSMT" w:hAnsi="TimesNewRomanPSMT"/>
          <w:color w:val="000000"/>
          <w:sz w:val="24"/>
          <w:szCs w:val="24"/>
        </w:rPr>
        <w:t>graduates.</w:t>
      </w:r>
    </w:p>
    <w:p w14:paraId="38405705" w14:textId="4E4FDFC8" w:rsidR="00100B3F" w:rsidRPr="002E4890" w:rsidRDefault="00100B3F" w:rsidP="002E4890">
      <w:pPr>
        <w:pStyle w:val="ListParagraph"/>
        <w:widowControl w:val="0"/>
        <w:numPr>
          <w:ilvl w:val="0"/>
          <w:numId w:val="8"/>
        </w:numPr>
        <w:tabs>
          <w:tab w:val="clear" w:pos="720"/>
          <w:tab w:val="num" w:pos="630"/>
        </w:tabs>
        <w:spacing w:before="120"/>
        <w:ind w:left="360" w:right="-30"/>
        <w:outlineLvl w:val="1"/>
        <w:rPr>
          <w:b/>
          <w:sz w:val="24"/>
          <w:szCs w:val="24"/>
        </w:rPr>
      </w:pPr>
      <w:r w:rsidRPr="002E4890">
        <w:rPr>
          <w:b/>
          <w:sz w:val="24"/>
          <w:szCs w:val="24"/>
        </w:rPr>
        <w:t xml:space="preserve">Timetable for </w:t>
      </w:r>
      <w:r w:rsidR="008F3A02" w:rsidRPr="002E4890">
        <w:rPr>
          <w:b/>
          <w:sz w:val="24"/>
          <w:szCs w:val="24"/>
        </w:rPr>
        <w:t>implementation:</w:t>
      </w:r>
      <w:r w:rsidRPr="002E4890">
        <w:rPr>
          <w:b/>
          <w:sz w:val="24"/>
          <w:szCs w:val="24"/>
        </w:rPr>
        <w:t xml:space="preserve"> </w:t>
      </w:r>
    </w:p>
    <w:p w14:paraId="17571E8E" w14:textId="2B98369D" w:rsidR="007900B4" w:rsidRPr="002E4890" w:rsidRDefault="002E4890" w:rsidP="00C55B7C">
      <w:pPr>
        <w:spacing w:before="120"/>
        <w:ind w:left="374"/>
        <w:rPr>
          <w:b/>
          <w:sz w:val="24"/>
          <w:szCs w:val="24"/>
        </w:rPr>
      </w:pPr>
      <w:r w:rsidRPr="002E4890">
        <w:rPr>
          <w:rStyle w:val="fontstyle01"/>
          <w:sz w:val="24"/>
          <w:szCs w:val="24"/>
        </w:rPr>
        <w:t>Because the minimum necessary facilities, faculty, and staff resources are already in place, it is</w:t>
      </w:r>
      <w:r w:rsidRPr="002E4890">
        <w:rPr>
          <w:rFonts w:ascii="TimesNewRomanPSMT" w:hAnsi="TimesNewRomanPSMT"/>
          <w:color w:val="000000"/>
          <w:sz w:val="24"/>
          <w:szCs w:val="24"/>
        </w:rPr>
        <w:br/>
      </w:r>
      <w:r w:rsidRPr="002E4890">
        <w:rPr>
          <w:rStyle w:val="fontstyle01"/>
          <w:sz w:val="24"/>
          <w:szCs w:val="24"/>
        </w:rPr>
        <w:t>anticipated that the MMP degree program would begin the first fall semester following program</w:t>
      </w:r>
      <w:r w:rsidRPr="002E4890">
        <w:rPr>
          <w:rFonts w:ascii="TimesNewRomanPSMT" w:hAnsi="TimesNewRomanPSMT"/>
          <w:color w:val="000000"/>
          <w:sz w:val="24"/>
          <w:szCs w:val="24"/>
        </w:rPr>
        <w:br/>
      </w:r>
      <w:r w:rsidRPr="002E4890">
        <w:rPr>
          <w:rStyle w:val="fontstyle01"/>
          <w:sz w:val="24"/>
          <w:szCs w:val="24"/>
        </w:rPr>
        <w:t>approval, perhaps as early as Fall 2022.</w:t>
      </w:r>
      <w:r>
        <w:rPr>
          <w:rStyle w:val="fontstyle01"/>
          <w:sz w:val="24"/>
          <w:szCs w:val="24"/>
        </w:rPr>
        <w:br/>
      </w:r>
    </w:p>
    <w:p w14:paraId="6E30F309" w14:textId="40D6B388" w:rsidR="00100B3F" w:rsidRDefault="00A15CD4">
      <w:pPr>
        <w:tabs>
          <w:tab w:val="left" w:pos="935"/>
        </w:tabs>
        <w:spacing w:before="120"/>
        <w:rPr>
          <w:b/>
          <w:sz w:val="24"/>
          <w:szCs w:val="24"/>
        </w:rPr>
      </w:pPr>
      <w:r>
        <w:rPr>
          <w:b/>
          <w:sz w:val="24"/>
          <w:szCs w:val="24"/>
        </w:rPr>
        <w:t>E</w:t>
      </w:r>
      <w:r w:rsidR="00100B3F" w:rsidRPr="006A6768">
        <w:rPr>
          <w:b/>
          <w:sz w:val="24"/>
          <w:szCs w:val="24"/>
        </w:rPr>
        <w:t xml:space="preserve">. </w:t>
      </w:r>
      <w:r w:rsidR="004B667D">
        <w:rPr>
          <w:b/>
          <w:sz w:val="24"/>
          <w:szCs w:val="24"/>
        </w:rPr>
        <w:t xml:space="preserve"> </w:t>
      </w:r>
      <w:r w:rsidR="00100B3F" w:rsidRPr="006A6768">
        <w:rPr>
          <w:b/>
          <w:sz w:val="24"/>
          <w:szCs w:val="24"/>
        </w:rPr>
        <w:t xml:space="preserve">Student Services: </w:t>
      </w:r>
    </w:p>
    <w:p w14:paraId="07B22F5E" w14:textId="67DCD4B4" w:rsidR="008F3A02" w:rsidRPr="001A137F" w:rsidRDefault="008F3A02">
      <w:pPr>
        <w:tabs>
          <w:tab w:val="left" w:pos="935"/>
        </w:tabs>
        <w:spacing w:before="120"/>
        <w:rPr>
          <w:b/>
          <w:sz w:val="24"/>
          <w:szCs w:val="24"/>
        </w:rPr>
      </w:pPr>
      <w:r w:rsidRPr="001A137F">
        <w:rPr>
          <w:b/>
          <w:sz w:val="24"/>
          <w:szCs w:val="24"/>
        </w:rPr>
        <w:t>1.  Capacity of student services to accommodate the change:</w:t>
      </w:r>
    </w:p>
    <w:p w14:paraId="1DD8F700" w14:textId="052830CA" w:rsidR="008F3A02" w:rsidRPr="001A137F" w:rsidRDefault="001A137F" w:rsidP="001A137F">
      <w:pPr>
        <w:tabs>
          <w:tab w:val="left" w:pos="935"/>
        </w:tabs>
        <w:spacing w:before="120"/>
        <w:ind w:left="360"/>
        <w:rPr>
          <w:b/>
          <w:color w:val="C0504D" w:themeColor="accent2"/>
          <w:sz w:val="24"/>
          <w:szCs w:val="24"/>
        </w:rPr>
      </w:pPr>
      <w:r w:rsidRPr="001A137F">
        <w:rPr>
          <w:rStyle w:val="fontstyle01"/>
          <w:sz w:val="24"/>
          <w:szCs w:val="24"/>
        </w:rPr>
        <w:t>Students and prospective students in the UAF CFOS graduate programs are supported by an Academic</w:t>
      </w:r>
      <w:r>
        <w:rPr>
          <w:rStyle w:val="fontstyle01"/>
          <w:sz w:val="24"/>
          <w:szCs w:val="24"/>
        </w:rPr>
        <w:t xml:space="preserve"> </w:t>
      </w:r>
      <w:r w:rsidRPr="001A137F">
        <w:rPr>
          <w:rStyle w:val="fontstyle01"/>
          <w:sz w:val="24"/>
          <w:szCs w:val="24"/>
        </w:rPr>
        <w:t>Manager and a Recruitment Coordinator who will be ready to assist these new students administratively.</w:t>
      </w:r>
      <w:r>
        <w:rPr>
          <w:rStyle w:val="fontstyle01"/>
          <w:sz w:val="24"/>
          <w:szCs w:val="24"/>
        </w:rPr>
        <w:t xml:space="preserve"> </w:t>
      </w:r>
      <w:r w:rsidRPr="001A137F">
        <w:rPr>
          <w:rStyle w:val="fontstyle01"/>
          <w:sz w:val="24"/>
          <w:szCs w:val="24"/>
        </w:rPr>
        <w:t>An Advising Coordinator supports students and prospective students in the UAS Department of Business</w:t>
      </w:r>
      <w:r>
        <w:rPr>
          <w:rStyle w:val="fontstyle01"/>
          <w:sz w:val="24"/>
          <w:szCs w:val="24"/>
        </w:rPr>
        <w:t xml:space="preserve"> </w:t>
      </w:r>
      <w:r w:rsidRPr="001A137F">
        <w:rPr>
          <w:rStyle w:val="fontstyle01"/>
          <w:sz w:val="24"/>
          <w:szCs w:val="24"/>
        </w:rPr>
        <w:t>and Public Administration</w:t>
      </w:r>
      <w:r>
        <w:rPr>
          <w:rStyle w:val="fontstyle01"/>
          <w:sz w:val="24"/>
          <w:szCs w:val="24"/>
        </w:rPr>
        <w:t>.</w:t>
      </w:r>
    </w:p>
    <w:p w14:paraId="3CA07AD7" w14:textId="31D021DD" w:rsidR="008F3A02" w:rsidRPr="001A137F" w:rsidRDefault="008F3A02">
      <w:pPr>
        <w:tabs>
          <w:tab w:val="left" w:pos="935"/>
        </w:tabs>
        <w:spacing w:before="120"/>
        <w:rPr>
          <w:b/>
          <w:sz w:val="24"/>
          <w:szCs w:val="24"/>
        </w:rPr>
      </w:pPr>
      <w:r w:rsidRPr="001A137F">
        <w:rPr>
          <w:b/>
          <w:sz w:val="24"/>
          <w:szCs w:val="24"/>
        </w:rPr>
        <w:t>2.  Implications of the change for services to the rest of the student body:</w:t>
      </w:r>
    </w:p>
    <w:p w14:paraId="66E893A8" w14:textId="2136DB85" w:rsidR="00100B3F" w:rsidRPr="006A6768" w:rsidRDefault="00303204" w:rsidP="00C55B7C">
      <w:pPr>
        <w:spacing w:before="120"/>
        <w:ind w:left="374"/>
        <w:rPr>
          <w:sz w:val="24"/>
          <w:szCs w:val="24"/>
        </w:rPr>
      </w:pPr>
      <w:r>
        <w:rPr>
          <w:sz w:val="24"/>
          <w:szCs w:val="24"/>
        </w:rPr>
        <w:t>The student services staff named above have the capacity to serve the additional MMP students without impacting services to the rest of the student body.</w:t>
      </w:r>
    </w:p>
    <w:p w14:paraId="037589BF" w14:textId="57459F63" w:rsidR="00100B3F" w:rsidRPr="006A6768" w:rsidRDefault="00A15CD4">
      <w:pPr>
        <w:tabs>
          <w:tab w:val="left" w:pos="935"/>
        </w:tabs>
        <w:spacing w:before="120"/>
        <w:rPr>
          <w:b/>
          <w:sz w:val="24"/>
          <w:szCs w:val="24"/>
        </w:rPr>
      </w:pPr>
      <w:r>
        <w:rPr>
          <w:b/>
          <w:sz w:val="24"/>
          <w:szCs w:val="24"/>
        </w:rPr>
        <w:t>F</w:t>
      </w:r>
      <w:r w:rsidR="00100B3F" w:rsidRPr="006A6768">
        <w:rPr>
          <w:b/>
          <w:sz w:val="24"/>
          <w:szCs w:val="24"/>
        </w:rPr>
        <w:t xml:space="preserve">. </w:t>
      </w:r>
      <w:r w:rsidR="004B667D">
        <w:rPr>
          <w:b/>
          <w:sz w:val="24"/>
          <w:szCs w:val="24"/>
        </w:rPr>
        <w:t xml:space="preserve"> </w:t>
      </w:r>
      <w:r w:rsidR="008F3A02">
        <w:rPr>
          <w:b/>
          <w:sz w:val="24"/>
          <w:szCs w:val="24"/>
        </w:rPr>
        <w:t xml:space="preserve">Provision for </w:t>
      </w:r>
      <w:r w:rsidR="00100B3F" w:rsidRPr="006A6768">
        <w:rPr>
          <w:b/>
          <w:sz w:val="24"/>
          <w:szCs w:val="24"/>
        </w:rPr>
        <w:t>Physical Facilities</w:t>
      </w:r>
      <w:r>
        <w:rPr>
          <w:b/>
          <w:sz w:val="24"/>
          <w:szCs w:val="24"/>
        </w:rPr>
        <w:t xml:space="preserve"> and </w:t>
      </w:r>
      <w:r w:rsidR="008F3A02">
        <w:rPr>
          <w:b/>
          <w:sz w:val="24"/>
          <w:szCs w:val="24"/>
        </w:rPr>
        <w:t>E</w:t>
      </w:r>
      <w:r>
        <w:rPr>
          <w:b/>
          <w:sz w:val="24"/>
          <w:szCs w:val="24"/>
        </w:rPr>
        <w:t>quipment</w:t>
      </w:r>
      <w:r w:rsidR="00100B3F" w:rsidRPr="006A6768">
        <w:rPr>
          <w:b/>
          <w:sz w:val="24"/>
          <w:szCs w:val="24"/>
        </w:rPr>
        <w:t xml:space="preserve">: </w:t>
      </w:r>
    </w:p>
    <w:p w14:paraId="4F322593" w14:textId="7576A51F" w:rsidR="00100B3F" w:rsidRPr="001A137F" w:rsidRDefault="001A137F" w:rsidP="00C55B7C">
      <w:pPr>
        <w:widowControl w:val="0"/>
        <w:spacing w:before="120"/>
        <w:ind w:left="374" w:right="240"/>
        <w:rPr>
          <w:sz w:val="24"/>
          <w:szCs w:val="24"/>
        </w:rPr>
      </w:pPr>
      <w:r w:rsidRPr="001A137F">
        <w:rPr>
          <w:rStyle w:val="fontstyle01"/>
          <w:sz w:val="24"/>
          <w:szCs w:val="24"/>
        </w:rPr>
        <w:t>Program needs for office and classroom space can be accommodated with existing physical facilities</w:t>
      </w:r>
      <w:r w:rsidR="00303204">
        <w:rPr>
          <w:rStyle w:val="fontstyle01"/>
          <w:sz w:val="24"/>
          <w:szCs w:val="24"/>
        </w:rPr>
        <w:t>, and require no additional funding or provision</w:t>
      </w:r>
      <w:r w:rsidRPr="001A137F">
        <w:rPr>
          <w:rStyle w:val="fontstyle01"/>
          <w:sz w:val="24"/>
          <w:szCs w:val="24"/>
        </w:rPr>
        <w:t>.</w:t>
      </w:r>
    </w:p>
    <w:p w14:paraId="51D8534A" w14:textId="3DB2C20F" w:rsidR="00100B3F" w:rsidRPr="006A6768" w:rsidRDefault="00A15CD4">
      <w:pPr>
        <w:tabs>
          <w:tab w:val="left" w:pos="935"/>
        </w:tabs>
        <w:spacing w:before="120"/>
        <w:rPr>
          <w:b/>
          <w:sz w:val="24"/>
          <w:szCs w:val="24"/>
        </w:rPr>
      </w:pPr>
      <w:r>
        <w:rPr>
          <w:b/>
          <w:sz w:val="24"/>
          <w:szCs w:val="24"/>
        </w:rPr>
        <w:t>G</w:t>
      </w:r>
      <w:r w:rsidR="00100B3F" w:rsidRPr="006A6768">
        <w:rPr>
          <w:b/>
          <w:sz w:val="24"/>
          <w:szCs w:val="24"/>
        </w:rPr>
        <w:t xml:space="preserve">. </w:t>
      </w:r>
      <w:r w:rsidR="004B667D">
        <w:rPr>
          <w:b/>
          <w:sz w:val="24"/>
          <w:szCs w:val="24"/>
        </w:rPr>
        <w:t xml:space="preserve"> </w:t>
      </w:r>
      <w:r w:rsidR="008F3A02">
        <w:rPr>
          <w:b/>
          <w:sz w:val="24"/>
          <w:szCs w:val="24"/>
        </w:rPr>
        <w:t xml:space="preserve">Adequacy and Availability of </w:t>
      </w:r>
      <w:r w:rsidR="00100B3F" w:rsidRPr="006A6768">
        <w:rPr>
          <w:b/>
          <w:sz w:val="24"/>
          <w:szCs w:val="24"/>
        </w:rPr>
        <w:t xml:space="preserve">Library and Information Resources: </w:t>
      </w:r>
    </w:p>
    <w:p w14:paraId="73002462" w14:textId="0AA52593" w:rsidR="00100B3F" w:rsidRPr="001A137F" w:rsidRDefault="001A137F" w:rsidP="00C55B7C">
      <w:pPr>
        <w:widowControl w:val="0"/>
        <w:spacing w:before="120"/>
        <w:ind w:left="374" w:right="240"/>
        <w:rPr>
          <w:sz w:val="24"/>
          <w:szCs w:val="24"/>
        </w:rPr>
      </w:pPr>
      <w:r w:rsidRPr="001A137F">
        <w:rPr>
          <w:rStyle w:val="fontstyle01"/>
          <w:sz w:val="24"/>
          <w:szCs w:val="24"/>
        </w:rPr>
        <w:t>Because the MMP program builds on existing courses and does not require a thesis, it is unlikely that</w:t>
      </w:r>
      <w:r>
        <w:rPr>
          <w:rStyle w:val="fontstyle01"/>
          <w:sz w:val="24"/>
          <w:szCs w:val="24"/>
        </w:rPr>
        <w:t xml:space="preserve"> </w:t>
      </w:r>
      <w:r w:rsidRPr="001A137F">
        <w:rPr>
          <w:rStyle w:val="fontstyle01"/>
          <w:sz w:val="24"/>
          <w:szCs w:val="24"/>
        </w:rPr>
        <w:t>support for this program will entail unique demand for specialized library resources.</w:t>
      </w:r>
    </w:p>
    <w:p w14:paraId="6780B005" w14:textId="2500884F" w:rsidR="00100B3F" w:rsidRDefault="00A15CD4">
      <w:pPr>
        <w:tabs>
          <w:tab w:val="left" w:pos="935"/>
        </w:tabs>
        <w:spacing w:before="120"/>
        <w:rPr>
          <w:b/>
          <w:sz w:val="24"/>
          <w:szCs w:val="24"/>
        </w:rPr>
      </w:pPr>
      <w:r>
        <w:rPr>
          <w:b/>
          <w:sz w:val="24"/>
          <w:szCs w:val="24"/>
        </w:rPr>
        <w:t>H</w:t>
      </w:r>
      <w:r w:rsidR="00100B3F" w:rsidRPr="006A6768">
        <w:rPr>
          <w:b/>
          <w:sz w:val="24"/>
          <w:szCs w:val="24"/>
        </w:rPr>
        <w:t xml:space="preserve">. </w:t>
      </w:r>
      <w:r w:rsidR="004B667D">
        <w:rPr>
          <w:b/>
          <w:sz w:val="24"/>
          <w:szCs w:val="24"/>
        </w:rPr>
        <w:t xml:space="preserve"> </w:t>
      </w:r>
      <w:r w:rsidR="00C55B7C">
        <w:rPr>
          <w:b/>
          <w:sz w:val="24"/>
          <w:szCs w:val="24"/>
        </w:rPr>
        <w:t xml:space="preserve"> </w:t>
      </w:r>
      <w:r w:rsidR="00100B3F" w:rsidRPr="006A6768">
        <w:rPr>
          <w:b/>
          <w:sz w:val="24"/>
          <w:szCs w:val="24"/>
        </w:rPr>
        <w:t xml:space="preserve">Faculty and Staff: </w:t>
      </w:r>
    </w:p>
    <w:p w14:paraId="207A1565" w14:textId="2AEFFFDD" w:rsidR="008F3A02" w:rsidRPr="001A137F" w:rsidRDefault="008F3A02">
      <w:pPr>
        <w:tabs>
          <w:tab w:val="left" w:pos="935"/>
        </w:tabs>
        <w:spacing w:before="120"/>
        <w:rPr>
          <w:b/>
          <w:sz w:val="24"/>
          <w:szCs w:val="24"/>
        </w:rPr>
      </w:pPr>
      <w:r w:rsidRPr="001A137F">
        <w:rPr>
          <w:b/>
          <w:sz w:val="24"/>
          <w:szCs w:val="24"/>
        </w:rPr>
        <w:t>1.  Analysis of faculty and staff resources needed, including educational and professional credentials, experience, and qualifications of faculty members relative to their individual teaching assignments:</w:t>
      </w:r>
    </w:p>
    <w:p w14:paraId="7442BC4D" w14:textId="32AB76F5" w:rsidR="008F3A02" w:rsidRPr="001A137F" w:rsidRDefault="001A137F" w:rsidP="001A137F">
      <w:pPr>
        <w:tabs>
          <w:tab w:val="left" w:pos="935"/>
        </w:tabs>
        <w:spacing w:before="120"/>
        <w:ind w:left="360"/>
        <w:rPr>
          <w:b/>
          <w:color w:val="C0504D" w:themeColor="accent2"/>
          <w:sz w:val="24"/>
          <w:szCs w:val="24"/>
        </w:rPr>
      </w:pPr>
      <w:r w:rsidRPr="001A137F">
        <w:rPr>
          <w:rStyle w:val="fontstyle01"/>
          <w:sz w:val="24"/>
          <w:szCs w:val="24"/>
        </w:rPr>
        <w:t>The MMP will be anchored by the Ted Stevens Distinguished Professor of Marine Policy, an endowed</w:t>
      </w:r>
      <w:r>
        <w:rPr>
          <w:rStyle w:val="fontstyle01"/>
          <w:sz w:val="24"/>
          <w:szCs w:val="24"/>
        </w:rPr>
        <w:t xml:space="preserve"> </w:t>
      </w:r>
      <w:r w:rsidRPr="001A137F">
        <w:rPr>
          <w:rStyle w:val="fontstyle01"/>
          <w:sz w:val="24"/>
          <w:szCs w:val="24"/>
        </w:rPr>
        <w:t>position established in the UAF CFOS by the Pollock Conservation Cooperative in 2000 and filled in</w:t>
      </w:r>
      <w:r>
        <w:rPr>
          <w:rStyle w:val="fontstyle01"/>
          <w:sz w:val="24"/>
          <w:szCs w:val="24"/>
        </w:rPr>
        <w:t xml:space="preserve"> </w:t>
      </w:r>
      <w:r w:rsidRPr="001A137F">
        <w:rPr>
          <w:rStyle w:val="fontstyle01"/>
          <w:sz w:val="24"/>
          <w:szCs w:val="24"/>
        </w:rPr>
        <w:t>2006. However, even though the courses included in the proposed MMP are currently being offered</w:t>
      </w:r>
      <w:r>
        <w:rPr>
          <w:rStyle w:val="fontstyle01"/>
          <w:sz w:val="24"/>
          <w:szCs w:val="24"/>
        </w:rPr>
        <w:t xml:space="preserve"> </w:t>
      </w:r>
      <w:r w:rsidRPr="001A137F">
        <w:rPr>
          <w:rStyle w:val="fontstyle01"/>
          <w:sz w:val="24"/>
          <w:szCs w:val="24"/>
        </w:rPr>
        <w:t>within the UA System, at least two additional faculty positions, one FTE each in UAF CFOS and UAS</w:t>
      </w:r>
      <w:r>
        <w:rPr>
          <w:rStyle w:val="fontstyle01"/>
          <w:sz w:val="24"/>
          <w:szCs w:val="24"/>
        </w:rPr>
        <w:t xml:space="preserve"> </w:t>
      </w:r>
      <w:r w:rsidRPr="001A137F">
        <w:rPr>
          <w:rStyle w:val="fontstyle01"/>
          <w:sz w:val="24"/>
          <w:szCs w:val="24"/>
        </w:rPr>
        <w:t>SAS, are needed to ensure program resilience and sustainability. For example, UAS lacks current faculty</w:t>
      </w:r>
      <w:r>
        <w:rPr>
          <w:rStyle w:val="fontstyle01"/>
          <w:sz w:val="24"/>
          <w:szCs w:val="24"/>
        </w:rPr>
        <w:t xml:space="preserve"> </w:t>
      </w:r>
      <w:r w:rsidRPr="001A137F">
        <w:rPr>
          <w:rStyle w:val="fontstyle01"/>
          <w:sz w:val="24"/>
          <w:szCs w:val="24"/>
        </w:rPr>
        <w:t>expertise to support PADM S693—Environmental Economics, an elective in the MMP Economics,</w:t>
      </w:r>
      <w:r>
        <w:rPr>
          <w:rStyle w:val="fontstyle01"/>
          <w:sz w:val="24"/>
          <w:szCs w:val="24"/>
        </w:rPr>
        <w:t xml:space="preserve"> </w:t>
      </w:r>
      <w:r w:rsidRPr="001A137F">
        <w:rPr>
          <w:rStyle w:val="fontstyle01"/>
          <w:sz w:val="24"/>
          <w:szCs w:val="24"/>
        </w:rPr>
        <w:t xml:space="preserve">Development, and Sustainability core. In addition, several UAF Fisheries </w:t>
      </w:r>
      <w:r w:rsidRPr="001A137F">
        <w:rPr>
          <w:rStyle w:val="fontstyle01"/>
          <w:sz w:val="24"/>
          <w:szCs w:val="24"/>
        </w:rPr>
        <w:lastRenderedPageBreak/>
        <w:t>courses included in the MMP</w:t>
      </w:r>
      <w:r>
        <w:rPr>
          <w:rStyle w:val="fontstyle01"/>
          <w:sz w:val="24"/>
          <w:szCs w:val="24"/>
        </w:rPr>
        <w:t xml:space="preserve"> </w:t>
      </w:r>
      <w:r w:rsidRPr="001A137F">
        <w:rPr>
          <w:rStyle w:val="fontstyle01"/>
          <w:sz w:val="24"/>
          <w:szCs w:val="24"/>
        </w:rPr>
        <w:t>curriculum are only offered in alternate years because there are too few faculty to offer those courses</w:t>
      </w:r>
      <w:r>
        <w:rPr>
          <w:rStyle w:val="fontstyle01"/>
          <w:sz w:val="24"/>
          <w:szCs w:val="24"/>
        </w:rPr>
        <w:t xml:space="preserve"> </w:t>
      </w:r>
      <w:r w:rsidRPr="001A137F">
        <w:rPr>
          <w:rStyle w:val="fontstyle01"/>
          <w:sz w:val="24"/>
          <w:szCs w:val="24"/>
        </w:rPr>
        <w:t>more frequently.</w:t>
      </w:r>
    </w:p>
    <w:p w14:paraId="678BDB06" w14:textId="133AC815" w:rsidR="008F3A02" w:rsidRPr="00EC6F15" w:rsidRDefault="008F3A02">
      <w:pPr>
        <w:tabs>
          <w:tab w:val="left" w:pos="935"/>
        </w:tabs>
        <w:spacing w:before="120"/>
        <w:rPr>
          <w:b/>
          <w:sz w:val="24"/>
          <w:szCs w:val="24"/>
        </w:rPr>
      </w:pPr>
      <w:r w:rsidRPr="00EC6F15">
        <w:rPr>
          <w:b/>
          <w:sz w:val="24"/>
          <w:szCs w:val="24"/>
        </w:rPr>
        <w:t>2.  Anticipated sources or plans to secure qualified faculty and staff.</w:t>
      </w:r>
    </w:p>
    <w:p w14:paraId="37702CE6" w14:textId="298CA858" w:rsidR="00303204" w:rsidRPr="00303204" w:rsidRDefault="00303204" w:rsidP="00303204">
      <w:pPr>
        <w:tabs>
          <w:tab w:val="left" w:pos="935"/>
        </w:tabs>
        <w:ind w:left="360"/>
        <w:rPr>
          <w:rStyle w:val="fontstyle01"/>
          <w:sz w:val="24"/>
          <w:szCs w:val="24"/>
        </w:rPr>
      </w:pPr>
      <w:r w:rsidRPr="00303204">
        <w:rPr>
          <w:rStyle w:val="fontstyle01"/>
          <w:sz w:val="24"/>
          <w:szCs w:val="24"/>
        </w:rPr>
        <w:t>In</w:t>
      </w:r>
      <w:r w:rsidRPr="00303204">
        <w:rPr>
          <w:rStyle w:val="fontstyle01"/>
          <w:sz w:val="24"/>
          <w:szCs w:val="24"/>
        </w:rPr>
        <w:t xml:space="preserve"> </w:t>
      </w:r>
      <w:r w:rsidRPr="00303204">
        <w:rPr>
          <w:rStyle w:val="fontstyle01"/>
          <w:sz w:val="24"/>
          <w:szCs w:val="24"/>
        </w:rPr>
        <w:t>their discussion and approval of the program</w:t>
      </w:r>
      <w:r w:rsidRPr="00303204">
        <w:rPr>
          <w:rStyle w:val="fontstyle01"/>
          <w:sz w:val="24"/>
          <w:szCs w:val="24"/>
        </w:rPr>
        <w:t xml:space="preserve"> </w:t>
      </w:r>
      <w:r w:rsidRPr="00303204">
        <w:rPr>
          <w:rStyle w:val="fontstyle01"/>
          <w:sz w:val="24"/>
          <w:szCs w:val="24"/>
        </w:rPr>
        <w:t>addition, the Board of Regents allocated the</w:t>
      </w:r>
    </w:p>
    <w:p w14:paraId="2E569C8D" w14:textId="2021675D" w:rsidR="00303204" w:rsidRPr="00303204" w:rsidRDefault="00303204" w:rsidP="00303204">
      <w:pPr>
        <w:tabs>
          <w:tab w:val="left" w:pos="935"/>
        </w:tabs>
        <w:ind w:left="360"/>
        <w:rPr>
          <w:rStyle w:val="fontstyle01"/>
          <w:sz w:val="24"/>
          <w:szCs w:val="24"/>
        </w:rPr>
      </w:pPr>
      <w:r w:rsidRPr="00303204">
        <w:rPr>
          <w:rStyle w:val="fontstyle01"/>
          <w:sz w:val="24"/>
          <w:szCs w:val="24"/>
        </w:rPr>
        <w:t>$250,000 funding to fill these two new positions</w:t>
      </w:r>
      <w:r w:rsidRPr="00303204">
        <w:rPr>
          <w:rStyle w:val="fontstyle01"/>
          <w:sz w:val="24"/>
          <w:szCs w:val="24"/>
        </w:rPr>
        <w:t xml:space="preserve"> </w:t>
      </w:r>
      <w:r w:rsidRPr="00303204">
        <w:rPr>
          <w:rStyle w:val="fontstyle01"/>
          <w:sz w:val="24"/>
          <w:szCs w:val="24"/>
        </w:rPr>
        <w:t xml:space="preserve">in the coming </w:t>
      </w:r>
      <w:proofErr w:type="gramStart"/>
      <w:r w:rsidRPr="00303204">
        <w:rPr>
          <w:rStyle w:val="fontstyle01"/>
          <w:sz w:val="24"/>
          <w:szCs w:val="24"/>
        </w:rPr>
        <w:t>year;</w:t>
      </w:r>
      <w:proofErr w:type="gramEnd"/>
      <w:r w:rsidRPr="00303204">
        <w:rPr>
          <w:rStyle w:val="fontstyle01"/>
          <w:sz w:val="24"/>
          <w:szCs w:val="24"/>
        </w:rPr>
        <w:t xml:space="preserve"> projected enrollments in</w:t>
      </w:r>
    </w:p>
    <w:p w14:paraId="6908A560" w14:textId="518C7704" w:rsidR="00A15CD4" w:rsidRPr="00303204" w:rsidRDefault="00303204" w:rsidP="00303204">
      <w:pPr>
        <w:tabs>
          <w:tab w:val="left" w:pos="935"/>
        </w:tabs>
        <w:ind w:left="360"/>
        <w:rPr>
          <w:rStyle w:val="fontstyle01"/>
          <w:sz w:val="24"/>
          <w:szCs w:val="24"/>
        </w:rPr>
      </w:pPr>
      <w:r w:rsidRPr="00303204">
        <w:rPr>
          <w:rStyle w:val="fontstyle01"/>
          <w:sz w:val="24"/>
          <w:szCs w:val="24"/>
        </w:rPr>
        <w:t>future years are expected to sustain the</w:t>
      </w:r>
      <w:r w:rsidRPr="00303204">
        <w:rPr>
          <w:rStyle w:val="fontstyle01"/>
          <w:sz w:val="24"/>
          <w:szCs w:val="24"/>
        </w:rPr>
        <w:t xml:space="preserve"> </w:t>
      </w:r>
      <w:r w:rsidRPr="00303204">
        <w:rPr>
          <w:rStyle w:val="fontstyle01"/>
          <w:sz w:val="24"/>
          <w:szCs w:val="24"/>
        </w:rPr>
        <w:t>positions. The Resource commitment document</w:t>
      </w:r>
      <w:r>
        <w:rPr>
          <w:rStyle w:val="fontstyle01"/>
          <w:sz w:val="24"/>
          <w:szCs w:val="24"/>
        </w:rPr>
        <w:t xml:space="preserve"> within</w:t>
      </w:r>
      <w:r w:rsidRPr="00303204">
        <w:rPr>
          <w:rStyle w:val="fontstyle01"/>
          <w:sz w:val="24"/>
          <w:szCs w:val="24"/>
        </w:rPr>
        <w:t xml:space="preserve"> the uploaded proposal outlines the distribution</w:t>
      </w:r>
      <w:r>
        <w:rPr>
          <w:rStyle w:val="fontstyle01"/>
          <w:sz w:val="24"/>
          <w:szCs w:val="24"/>
        </w:rPr>
        <w:t xml:space="preserve"> </w:t>
      </w:r>
      <w:r w:rsidRPr="00303204">
        <w:rPr>
          <w:rStyle w:val="fontstyle01"/>
          <w:sz w:val="24"/>
          <w:szCs w:val="24"/>
        </w:rPr>
        <w:t>of existing and new faculty committed from</w:t>
      </w:r>
      <w:r w:rsidRPr="00303204">
        <w:rPr>
          <w:rStyle w:val="fontstyle01"/>
          <w:sz w:val="24"/>
          <w:szCs w:val="24"/>
        </w:rPr>
        <w:t xml:space="preserve"> </w:t>
      </w:r>
      <w:r w:rsidRPr="00303204">
        <w:rPr>
          <w:rStyle w:val="fontstyle01"/>
          <w:sz w:val="24"/>
          <w:szCs w:val="24"/>
        </w:rPr>
        <w:t>both institutions.</w:t>
      </w:r>
      <w:r>
        <w:rPr>
          <w:rStyle w:val="fontstyle01"/>
          <w:sz w:val="24"/>
          <w:szCs w:val="24"/>
        </w:rPr>
        <w:br/>
      </w:r>
    </w:p>
    <w:p w14:paraId="77CB4665" w14:textId="297E0A01" w:rsidR="00A15CD4" w:rsidRPr="00A15CD4" w:rsidRDefault="0095408D" w:rsidP="00A15CD4">
      <w:pPr>
        <w:pStyle w:val="ListParagraph"/>
        <w:numPr>
          <w:ilvl w:val="0"/>
          <w:numId w:val="10"/>
        </w:numPr>
        <w:tabs>
          <w:tab w:val="left" w:pos="935"/>
        </w:tabs>
        <w:spacing w:before="120"/>
        <w:ind w:left="450" w:hanging="450"/>
        <w:rPr>
          <w:b/>
          <w:sz w:val="24"/>
          <w:szCs w:val="24"/>
        </w:rPr>
      </w:pPr>
      <w:hyperlink r:id="rId11" w:history="1">
        <w:r w:rsidR="00A15CD4" w:rsidRPr="00A15CD4">
          <w:rPr>
            <w:rStyle w:val="Hyperlink"/>
            <w:b/>
            <w:sz w:val="24"/>
            <w:szCs w:val="24"/>
          </w:rPr>
          <w:t xml:space="preserve">Completed Budget </w:t>
        </w:r>
        <w:r w:rsidR="00A15CD4">
          <w:rPr>
            <w:rStyle w:val="Hyperlink"/>
            <w:b/>
            <w:sz w:val="24"/>
            <w:szCs w:val="24"/>
          </w:rPr>
          <w:t>Worksheet</w:t>
        </w:r>
      </w:hyperlink>
    </w:p>
    <w:p w14:paraId="4EEDA9B9" w14:textId="77777777" w:rsidR="00100B3F" w:rsidRPr="006A6768" w:rsidRDefault="00100B3F" w:rsidP="00C55B7C">
      <w:pPr>
        <w:widowControl w:val="0"/>
        <w:spacing w:before="120"/>
        <w:ind w:left="374" w:right="240"/>
        <w:rPr>
          <w:sz w:val="24"/>
          <w:szCs w:val="24"/>
        </w:rPr>
      </w:pPr>
    </w:p>
    <w:sectPr w:rsidR="00100B3F" w:rsidRPr="006A6768">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94B3" w14:textId="77777777" w:rsidR="0095408D" w:rsidRDefault="0095408D" w:rsidP="008E4F0F">
      <w:r>
        <w:separator/>
      </w:r>
    </w:p>
  </w:endnote>
  <w:endnote w:type="continuationSeparator" w:id="0">
    <w:p w14:paraId="7D2ABCD6" w14:textId="77777777" w:rsidR="0095408D" w:rsidRDefault="0095408D" w:rsidP="008E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C2AC" w14:textId="0CFCF4FF" w:rsidR="008E4F0F" w:rsidRDefault="008E4F0F">
    <w:pPr>
      <w:pStyle w:val="Footer"/>
    </w:pPr>
    <w:r>
      <w:t xml:space="preserve">Updated </w:t>
    </w:r>
    <w:r w:rsidR="00E117CD">
      <w:t>August</w:t>
    </w:r>
    <w:r>
      <w:t xml:space="preserve"> 2022</w:t>
    </w:r>
  </w:p>
  <w:p w14:paraId="0B6E4F11" w14:textId="77777777" w:rsidR="008E4F0F" w:rsidRDefault="008E4F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4340" w14:textId="77777777" w:rsidR="0095408D" w:rsidRDefault="0095408D" w:rsidP="008E4F0F">
      <w:r>
        <w:separator/>
      </w:r>
    </w:p>
  </w:footnote>
  <w:footnote w:type="continuationSeparator" w:id="0">
    <w:p w14:paraId="2B882F56" w14:textId="77777777" w:rsidR="0095408D" w:rsidRDefault="0095408D" w:rsidP="008E4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4C41D" w14:textId="77777777" w:rsidR="002E4890" w:rsidRDefault="002E4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94AD4"/>
    <w:multiLevelType w:val="hybridMultilevel"/>
    <w:tmpl w:val="A0C8A55E"/>
    <w:lvl w:ilvl="0" w:tplc="B06A8004">
      <w:start w:val="1"/>
      <w:numFmt w:val="upperRoman"/>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8566382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3F50A7"/>
    <w:multiLevelType w:val="hybridMultilevel"/>
    <w:tmpl w:val="952C447E"/>
    <w:lvl w:ilvl="0" w:tplc="961C481A">
      <w:start w:val="2"/>
      <w:numFmt w:val="decimal"/>
      <w:lvlText w:val="%1."/>
      <w:lvlJc w:val="left"/>
      <w:pPr>
        <w:tabs>
          <w:tab w:val="num" w:pos="374"/>
        </w:tabs>
        <w:ind w:left="374" w:hanging="360"/>
      </w:pPr>
      <w:rPr>
        <w:rFonts w:hint="default"/>
      </w:rPr>
    </w:lvl>
    <w:lvl w:ilvl="1" w:tplc="04090019">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2" w15:restartNumberingAfterBreak="0">
    <w:nsid w:val="35995D24"/>
    <w:multiLevelType w:val="hybridMultilevel"/>
    <w:tmpl w:val="0DEA26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61D30E0"/>
    <w:multiLevelType w:val="hybridMultilevel"/>
    <w:tmpl w:val="838E6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C23614"/>
    <w:multiLevelType w:val="hybridMultilevel"/>
    <w:tmpl w:val="9FAAE1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0D2FE1"/>
    <w:multiLevelType w:val="hybridMultilevel"/>
    <w:tmpl w:val="1E5873B6"/>
    <w:lvl w:ilvl="0" w:tplc="2D18817C">
      <w:start w:val="1"/>
      <w:numFmt w:val="upperRoman"/>
      <w:lvlText w:val="%1."/>
      <w:lvlJc w:val="left"/>
      <w:pPr>
        <w:tabs>
          <w:tab w:val="num" w:pos="1094"/>
        </w:tabs>
        <w:ind w:left="1094" w:hanging="720"/>
      </w:pPr>
      <w:rPr>
        <w:rFonts w:hint="default"/>
      </w:rPr>
    </w:lvl>
    <w:lvl w:ilvl="1" w:tplc="A50070F8">
      <w:start w:val="1"/>
      <w:numFmt w:val="upperLetter"/>
      <w:lvlText w:val="%2."/>
      <w:lvlJc w:val="left"/>
      <w:pPr>
        <w:tabs>
          <w:tab w:val="num" w:pos="1454"/>
        </w:tabs>
        <w:ind w:left="1454" w:hanging="360"/>
      </w:pPr>
      <w:rPr>
        <w:rFonts w:hint="default"/>
      </w:rPr>
    </w:lvl>
    <w:lvl w:ilvl="2" w:tplc="0409001B">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6" w15:restartNumberingAfterBreak="0">
    <w:nsid w:val="46486A88"/>
    <w:multiLevelType w:val="multilevel"/>
    <w:tmpl w:val="952C447E"/>
    <w:lvl w:ilvl="0">
      <w:start w:val="2"/>
      <w:numFmt w:val="decimal"/>
      <w:lvlText w:val="%1."/>
      <w:lvlJc w:val="left"/>
      <w:pPr>
        <w:tabs>
          <w:tab w:val="num" w:pos="374"/>
        </w:tabs>
        <w:ind w:left="374" w:hanging="360"/>
      </w:pPr>
      <w:rPr>
        <w:rFonts w:hint="default"/>
      </w:rPr>
    </w:lvl>
    <w:lvl w:ilvl="1">
      <w:start w:val="1"/>
      <w:numFmt w:val="lowerLetter"/>
      <w:lvlText w:val="%2."/>
      <w:lvlJc w:val="left"/>
      <w:pPr>
        <w:tabs>
          <w:tab w:val="num" w:pos="1094"/>
        </w:tabs>
        <w:ind w:left="1094" w:hanging="360"/>
      </w:pPr>
    </w:lvl>
    <w:lvl w:ilvl="2">
      <w:start w:val="1"/>
      <w:numFmt w:val="lowerRoman"/>
      <w:lvlText w:val="%3."/>
      <w:lvlJc w:val="right"/>
      <w:pPr>
        <w:tabs>
          <w:tab w:val="num" w:pos="1814"/>
        </w:tabs>
        <w:ind w:left="1814" w:hanging="180"/>
      </w:pPr>
    </w:lvl>
    <w:lvl w:ilvl="3">
      <w:start w:val="1"/>
      <w:numFmt w:val="decimal"/>
      <w:lvlText w:val="%4."/>
      <w:lvlJc w:val="left"/>
      <w:pPr>
        <w:tabs>
          <w:tab w:val="num" w:pos="2534"/>
        </w:tabs>
        <w:ind w:left="2534" w:hanging="360"/>
      </w:pPr>
    </w:lvl>
    <w:lvl w:ilvl="4">
      <w:start w:val="1"/>
      <w:numFmt w:val="lowerLetter"/>
      <w:lvlText w:val="%5."/>
      <w:lvlJc w:val="left"/>
      <w:pPr>
        <w:tabs>
          <w:tab w:val="num" w:pos="3254"/>
        </w:tabs>
        <w:ind w:left="3254" w:hanging="360"/>
      </w:pPr>
    </w:lvl>
    <w:lvl w:ilvl="5">
      <w:start w:val="1"/>
      <w:numFmt w:val="lowerRoman"/>
      <w:lvlText w:val="%6."/>
      <w:lvlJc w:val="right"/>
      <w:pPr>
        <w:tabs>
          <w:tab w:val="num" w:pos="3974"/>
        </w:tabs>
        <w:ind w:left="3974" w:hanging="180"/>
      </w:pPr>
    </w:lvl>
    <w:lvl w:ilvl="6">
      <w:start w:val="1"/>
      <w:numFmt w:val="decimal"/>
      <w:lvlText w:val="%7."/>
      <w:lvlJc w:val="left"/>
      <w:pPr>
        <w:tabs>
          <w:tab w:val="num" w:pos="4694"/>
        </w:tabs>
        <w:ind w:left="4694" w:hanging="360"/>
      </w:pPr>
    </w:lvl>
    <w:lvl w:ilvl="7">
      <w:start w:val="1"/>
      <w:numFmt w:val="lowerLetter"/>
      <w:lvlText w:val="%8."/>
      <w:lvlJc w:val="left"/>
      <w:pPr>
        <w:tabs>
          <w:tab w:val="num" w:pos="5414"/>
        </w:tabs>
        <w:ind w:left="5414" w:hanging="360"/>
      </w:pPr>
    </w:lvl>
    <w:lvl w:ilvl="8">
      <w:start w:val="1"/>
      <w:numFmt w:val="lowerRoman"/>
      <w:lvlText w:val="%9."/>
      <w:lvlJc w:val="right"/>
      <w:pPr>
        <w:tabs>
          <w:tab w:val="num" w:pos="6134"/>
        </w:tabs>
        <w:ind w:left="6134" w:hanging="180"/>
      </w:pPr>
    </w:lvl>
  </w:abstractNum>
  <w:abstractNum w:abstractNumId="7" w15:restartNumberingAfterBreak="0">
    <w:nsid w:val="49D41438"/>
    <w:multiLevelType w:val="hybridMultilevel"/>
    <w:tmpl w:val="490812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B7F529A"/>
    <w:multiLevelType w:val="hybridMultilevel"/>
    <w:tmpl w:val="49081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B04FF3"/>
    <w:multiLevelType w:val="hybridMultilevel"/>
    <w:tmpl w:val="9C76C776"/>
    <w:lvl w:ilvl="0" w:tplc="2DA20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93768"/>
    <w:multiLevelType w:val="hybridMultilevel"/>
    <w:tmpl w:val="D338B8F0"/>
    <w:lvl w:ilvl="0" w:tplc="356A8CC4">
      <w:start w:val="2"/>
      <w:numFmt w:val="decimal"/>
      <w:lvlText w:val="%1."/>
      <w:lvlJc w:val="left"/>
      <w:pPr>
        <w:tabs>
          <w:tab w:val="num" w:pos="921"/>
        </w:tabs>
        <w:ind w:left="921" w:hanging="360"/>
      </w:pPr>
      <w:rPr>
        <w:rFonts w:hint="default"/>
        <w:b/>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abstractNumId w:val="0"/>
  </w:num>
  <w:num w:numId="2">
    <w:abstractNumId w:val="5"/>
  </w:num>
  <w:num w:numId="3">
    <w:abstractNumId w:val="10"/>
  </w:num>
  <w:num w:numId="4">
    <w:abstractNumId w:val="1"/>
  </w:num>
  <w:num w:numId="5">
    <w:abstractNumId w:val="6"/>
  </w:num>
  <w:num w:numId="6">
    <w:abstractNumId w:val="3"/>
  </w:num>
  <w:num w:numId="7">
    <w:abstractNumId w:val="2"/>
  </w:num>
  <w:num w:numId="8">
    <w:abstractNumId w:val="8"/>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88"/>
    <w:rsid w:val="00010388"/>
    <w:rsid w:val="00100B3F"/>
    <w:rsid w:val="001A137F"/>
    <w:rsid w:val="002B386F"/>
    <w:rsid w:val="002E4890"/>
    <w:rsid w:val="00303204"/>
    <w:rsid w:val="004B667D"/>
    <w:rsid w:val="005F6024"/>
    <w:rsid w:val="006A6768"/>
    <w:rsid w:val="007900B4"/>
    <w:rsid w:val="007920DC"/>
    <w:rsid w:val="008E4F0F"/>
    <w:rsid w:val="008F3A02"/>
    <w:rsid w:val="0095408D"/>
    <w:rsid w:val="00993FE4"/>
    <w:rsid w:val="00A15CD4"/>
    <w:rsid w:val="00A263A8"/>
    <w:rsid w:val="00B0070F"/>
    <w:rsid w:val="00B8338B"/>
    <w:rsid w:val="00C55B7C"/>
    <w:rsid w:val="00DF3B1F"/>
    <w:rsid w:val="00E117CD"/>
    <w:rsid w:val="00EC6F15"/>
    <w:rsid w:val="00FC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707B2FD"/>
  <w15:docId w15:val="{A7A7DB8C-C96E-470E-B7CF-233EF27B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2"/>
    </w:rPr>
  </w:style>
  <w:style w:type="paragraph" w:styleId="NormalWeb">
    <w:name w:val="Normal (Web)"/>
    <w:basedOn w:val="Normal"/>
    <w:pPr>
      <w:spacing w:before="100" w:beforeAutospacing="1" w:after="100" w:afterAutospacing="1"/>
    </w:pPr>
    <w:rPr>
      <w:rFonts w:ascii="Times" w:hAnsi="Times"/>
      <w:sz w:val="24"/>
      <w:szCs w:val="24"/>
    </w:rPr>
  </w:style>
  <w:style w:type="paragraph" w:styleId="ListParagraph">
    <w:name w:val="List Paragraph"/>
    <w:basedOn w:val="Normal"/>
    <w:uiPriority w:val="34"/>
    <w:qFormat/>
    <w:rsid w:val="002B386F"/>
    <w:pPr>
      <w:ind w:left="720"/>
      <w:contextualSpacing/>
    </w:pPr>
  </w:style>
  <w:style w:type="character" w:styleId="Hyperlink">
    <w:name w:val="Hyperlink"/>
    <w:basedOn w:val="DefaultParagraphFont"/>
    <w:unhideWhenUsed/>
    <w:rsid w:val="00A15CD4"/>
    <w:rPr>
      <w:color w:val="0000FF" w:themeColor="hyperlink"/>
      <w:u w:val="single"/>
    </w:rPr>
  </w:style>
  <w:style w:type="character" w:styleId="UnresolvedMention">
    <w:name w:val="Unresolved Mention"/>
    <w:basedOn w:val="DefaultParagraphFont"/>
    <w:uiPriority w:val="99"/>
    <w:semiHidden/>
    <w:unhideWhenUsed/>
    <w:rsid w:val="00A15CD4"/>
    <w:rPr>
      <w:color w:val="605E5C"/>
      <w:shd w:val="clear" w:color="auto" w:fill="E1DFDD"/>
    </w:rPr>
  </w:style>
  <w:style w:type="paragraph" w:styleId="Header">
    <w:name w:val="header"/>
    <w:basedOn w:val="Normal"/>
    <w:link w:val="HeaderChar"/>
    <w:uiPriority w:val="99"/>
    <w:unhideWhenUsed/>
    <w:rsid w:val="008E4F0F"/>
    <w:pPr>
      <w:tabs>
        <w:tab w:val="center" w:pos="4680"/>
        <w:tab w:val="right" w:pos="9360"/>
      </w:tabs>
    </w:pPr>
  </w:style>
  <w:style w:type="character" w:customStyle="1" w:styleId="HeaderChar">
    <w:name w:val="Header Char"/>
    <w:basedOn w:val="DefaultParagraphFont"/>
    <w:link w:val="Header"/>
    <w:uiPriority w:val="99"/>
    <w:rsid w:val="008E4F0F"/>
  </w:style>
  <w:style w:type="paragraph" w:styleId="Footer">
    <w:name w:val="footer"/>
    <w:basedOn w:val="Normal"/>
    <w:link w:val="FooterChar"/>
    <w:uiPriority w:val="99"/>
    <w:unhideWhenUsed/>
    <w:rsid w:val="008E4F0F"/>
    <w:pPr>
      <w:tabs>
        <w:tab w:val="center" w:pos="4680"/>
        <w:tab w:val="right" w:pos="9360"/>
      </w:tabs>
    </w:pPr>
  </w:style>
  <w:style w:type="character" w:customStyle="1" w:styleId="FooterChar">
    <w:name w:val="Footer Char"/>
    <w:basedOn w:val="DefaultParagraphFont"/>
    <w:link w:val="Footer"/>
    <w:uiPriority w:val="99"/>
    <w:rsid w:val="008E4F0F"/>
  </w:style>
  <w:style w:type="character" w:styleId="FollowedHyperlink">
    <w:name w:val="FollowedHyperlink"/>
    <w:basedOn w:val="DefaultParagraphFont"/>
    <w:semiHidden/>
    <w:unhideWhenUsed/>
    <w:rsid w:val="007920DC"/>
    <w:rPr>
      <w:color w:val="800080" w:themeColor="followedHyperlink"/>
      <w:u w:val="single"/>
    </w:rPr>
  </w:style>
  <w:style w:type="character" w:customStyle="1" w:styleId="fontstyle01">
    <w:name w:val="fontstyle01"/>
    <w:basedOn w:val="DefaultParagraphFont"/>
    <w:rsid w:val="002E4890"/>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af.edu/assessment-review/files/sloa/SLOAPlanTemplate12-13.doc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af.edu/assessment-review/files/sloa/SLOAPlanTemplate12-13.doc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ccu.app.box.com/s/g4wo5rr04pgsx3ore2ipahgzwxr4unm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s.gov/ooh/" TargetMode="External"/><Relationship Id="rId4" Type="http://schemas.openxmlformats.org/officeDocument/2006/relationships/webSettings" Target="webSettings.xml"/><Relationship Id="rId9" Type="http://schemas.openxmlformats.org/officeDocument/2006/relationships/hyperlink" Target="https://www.economicmodel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1538</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vt:lpstr>
    </vt:vector>
  </TitlesOfParts>
  <Company>Alaska Native Language Center</Company>
  <LinksUpToDate>false</LinksUpToDate>
  <CharactersWithSpaces>10291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Patrick E. Marlow</dc:creator>
  <cp:lastModifiedBy>Michelle Strickland</cp:lastModifiedBy>
  <cp:revision>4</cp:revision>
  <cp:lastPrinted>2004-04-22T22:53:00Z</cp:lastPrinted>
  <dcterms:created xsi:type="dcterms:W3CDTF">2022-08-10T20:45:00Z</dcterms:created>
  <dcterms:modified xsi:type="dcterms:W3CDTF">2022-08-10T21:14:00Z</dcterms:modified>
</cp:coreProperties>
</file>