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EB3B" w14:textId="77777777" w:rsidR="006D5CC6" w:rsidRDefault="006D5CC6">
      <w:pPr>
        <w:pStyle w:val="Heading1"/>
        <w:rPr>
          <w:rFonts w:ascii="Arial Narrow" w:hAnsi="Arial Narrow"/>
          <w:sz w:val="28"/>
        </w:rPr>
      </w:pPr>
      <w:r>
        <w:rPr>
          <w:rFonts w:ascii="Arial Narrow" w:hAnsi="Arial Narrow"/>
          <w:sz w:val="28"/>
        </w:rPr>
        <w:t>Prospectus</w:t>
      </w:r>
      <w:r w:rsidR="00EC20B1">
        <w:rPr>
          <w:rFonts w:ascii="Arial Narrow" w:hAnsi="Arial Narrow"/>
          <w:sz w:val="28"/>
        </w:rPr>
        <w:t xml:space="preserve"> Instructions</w:t>
      </w:r>
    </w:p>
    <w:p w14:paraId="080702DD" w14:textId="7B2226D4" w:rsidR="00EC20B1" w:rsidRDefault="00EC20B1">
      <w:pPr>
        <w:rPr>
          <w:rFonts w:ascii="Arial Narrow" w:hAnsi="Arial Narrow"/>
        </w:rPr>
      </w:pPr>
      <w:r>
        <w:rPr>
          <w:rFonts w:ascii="Arial Narrow" w:hAnsi="Arial Narrow"/>
        </w:rPr>
        <w:t xml:space="preserve">UAF’s accrediting institution, the Northwest Commission on Colleges and Universities (NWCCU), requires the submission of a prospectus in the event of substantive change (for example, a new academic program) for their approval.  This requirement is documented in the NWCCU </w:t>
      </w:r>
      <w:hyperlink r:id="rId7" w:history="1">
        <w:r w:rsidR="00FD67A1" w:rsidRPr="00FD67A1">
          <w:rPr>
            <w:rStyle w:val="Hyperlink"/>
            <w:rFonts w:ascii="Arial Narrow" w:hAnsi="Arial Narrow"/>
          </w:rPr>
          <w:t>Substantive Change Manual</w:t>
        </w:r>
      </w:hyperlink>
      <w:r>
        <w:rPr>
          <w:rFonts w:ascii="Arial Narrow" w:hAnsi="Arial Narrow"/>
        </w:rPr>
        <w:t xml:space="preserve"> under </w:t>
      </w:r>
      <w:r w:rsidR="00FD67A1">
        <w:rPr>
          <w:rFonts w:ascii="Arial Narrow" w:hAnsi="Arial Narrow"/>
          <w:i/>
        </w:rPr>
        <w:t>Section Two: Substantive Change Review Procedures</w:t>
      </w:r>
      <w:r>
        <w:rPr>
          <w:rFonts w:ascii="Arial Narrow" w:hAnsi="Arial Narrow"/>
        </w:rPr>
        <w:t xml:space="preserve">, which is excerpted below:  </w:t>
      </w:r>
    </w:p>
    <w:p w14:paraId="4161F768" w14:textId="77777777" w:rsidR="006D5CC6" w:rsidRDefault="006D5CC6">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3"/>
        <w:gridCol w:w="6467"/>
      </w:tblGrid>
      <w:tr w:rsidR="006D5CC6" w14:paraId="0D9433EA" w14:textId="77777777">
        <w:tc>
          <w:tcPr>
            <w:tcW w:w="6588" w:type="dxa"/>
          </w:tcPr>
          <w:p w14:paraId="665D28AC" w14:textId="77777777" w:rsidR="006D5CC6" w:rsidRDefault="006D5CC6">
            <w:pPr>
              <w:rPr>
                <w:rFonts w:ascii="Arial Narrow" w:hAnsi="Arial Narrow"/>
                <w:b/>
                <w:bCs/>
              </w:rPr>
            </w:pPr>
            <w:r>
              <w:rPr>
                <w:rFonts w:ascii="Arial Narrow" w:hAnsi="Arial Narrow"/>
                <w:b/>
                <w:bCs/>
              </w:rPr>
              <w:t>Commission Requirement</w:t>
            </w:r>
          </w:p>
          <w:p w14:paraId="1EEE2ACC" w14:textId="576DD419" w:rsidR="006D5CC6" w:rsidRDefault="00CC59C4">
            <w:pPr>
              <w:rPr>
                <w:rFonts w:ascii="Arial Narrow" w:hAnsi="Arial Narrow"/>
              </w:rPr>
            </w:pPr>
            <w:r>
              <w:rPr>
                <w:rFonts w:ascii="Arial Narrow" w:hAnsi="Arial Narrow"/>
              </w:rPr>
              <w:t xml:space="preserve">From </w:t>
            </w:r>
            <w:r w:rsidR="00EC20B1">
              <w:rPr>
                <w:rFonts w:ascii="Arial Narrow" w:hAnsi="Arial Narrow"/>
              </w:rPr>
              <w:t xml:space="preserve">NWCCU </w:t>
            </w:r>
            <w:r w:rsidR="00FD67A1">
              <w:rPr>
                <w:rFonts w:ascii="Arial Narrow" w:hAnsi="Arial Narrow"/>
                <w:i/>
              </w:rPr>
              <w:t>Substantive Change Policy and Manual</w:t>
            </w:r>
          </w:p>
        </w:tc>
        <w:tc>
          <w:tcPr>
            <w:tcW w:w="6588" w:type="dxa"/>
          </w:tcPr>
          <w:p w14:paraId="31ECA58F" w14:textId="77777777" w:rsidR="006D5CC6" w:rsidRDefault="006D5CC6">
            <w:pPr>
              <w:rPr>
                <w:rFonts w:ascii="Arial Narrow" w:hAnsi="Arial Narrow"/>
                <w:b/>
                <w:bCs/>
              </w:rPr>
            </w:pPr>
            <w:r>
              <w:rPr>
                <w:rFonts w:ascii="Arial Narrow" w:hAnsi="Arial Narrow"/>
                <w:b/>
                <w:bCs/>
              </w:rPr>
              <w:t>Corresponding New Degree Program Request Instructions or Other Information</w:t>
            </w:r>
          </w:p>
          <w:p w14:paraId="5E98236F" w14:textId="77777777" w:rsidR="006D5CC6" w:rsidRDefault="006D5CC6">
            <w:pPr>
              <w:rPr>
                <w:rFonts w:ascii="Arial Narrow" w:hAnsi="Arial Narrow"/>
              </w:rPr>
            </w:pPr>
            <w:r>
              <w:rPr>
                <w:rFonts w:ascii="Arial Narrow" w:hAnsi="Arial Narrow"/>
              </w:rPr>
              <w:t>Refer to UAF Academic Course and Degree Procedures Manual: “New Degree Program Request Section”</w:t>
            </w:r>
          </w:p>
        </w:tc>
      </w:tr>
      <w:tr w:rsidR="006D5CC6" w14:paraId="26A42D73" w14:textId="77777777">
        <w:tc>
          <w:tcPr>
            <w:tcW w:w="6588" w:type="dxa"/>
          </w:tcPr>
          <w:p w14:paraId="099862A4" w14:textId="4F2E5012" w:rsidR="006D5CC6" w:rsidRDefault="006D5CC6">
            <w:pPr>
              <w:numPr>
                <w:ilvl w:val="0"/>
                <w:numId w:val="1"/>
              </w:numPr>
              <w:rPr>
                <w:rFonts w:ascii="Arial Narrow" w:hAnsi="Arial Narrow"/>
              </w:rPr>
            </w:pPr>
            <w:r>
              <w:rPr>
                <w:rFonts w:ascii="Arial Narrow" w:hAnsi="Arial Narrow"/>
              </w:rPr>
              <w:t xml:space="preserve">Mission and </w:t>
            </w:r>
            <w:r w:rsidR="00FD67A1">
              <w:rPr>
                <w:rFonts w:ascii="Arial Narrow" w:hAnsi="Arial Narrow"/>
              </w:rPr>
              <w:t>Objective</w:t>
            </w:r>
            <w:r>
              <w:rPr>
                <w:rFonts w:ascii="Arial Narrow" w:hAnsi="Arial Narrow"/>
              </w:rPr>
              <w:t>s: 1) clear statement of the nature and purposes of the change in the context of institutional mission and goals.</w:t>
            </w:r>
          </w:p>
        </w:tc>
        <w:tc>
          <w:tcPr>
            <w:tcW w:w="6588" w:type="dxa"/>
          </w:tcPr>
          <w:p w14:paraId="360CDDC2" w14:textId="412B4919" w:rsidR="006D5CC6" w:rsidRDefault="006D5CC6">
            <w:pPr>
              <w:rPr>
                <w:rFonts w:ascii="Arial Narrow" w:hAnsi="Arial Narrow"/>
              </w:rPr>
            </w:pPr>
            <w:r>
              <w:rPr>
                <w:rFonts w:ascii="Arial Narrow" w:hAnsi="Arial Narrow"/>
              </w:rPr>
              <w:t>State how program falls within our</w:t>
            </w:r>
            <w:r w:rsidR="00FD67A1">
              <w:rPr>
                <w:rFonts w:ascii="Arial Narrow" w:hAnsi="Arial Narrow"/>
              </w:rPr>
              <w:t xml:space="preserve"> institution’s</w:t>
            </w:r>
            <w:r>
              <w:rPr>
                <w:rFonts w:ascii="Arial Narrow" w:hAnsi="Arial Narrow"/>
              </w:rPr>
              <w:t xml:space="preserve"> mission and goals. Be sure to reference the mission statement in effect at the time of your proposal.</w:t>
            </w:r>
          </w:p>
        </w:tc>
      </w:tr>
      <w:tr w:rsidR="006D5CC6" w14:paraId="09F17F00" w14:textId="77777777">
        <w:tc>
          <w:tcPr>
            <w:tcW w:w="6588" w:type="dxa"/>
          </w:tcPr>
          <w:p w14:paraId="037063AE" w14:textId="75781CBB" w:rsidR="006D5CC6" w:rsidRDefault="006D5CC6">
            <w:pPr>
              <w:numPr>
                <w:ilvl w:val="0"/>
                <w:numId w:val="1"/>
              </w:numPr>
              <w:rPr>
                <w:rFonts w:ascii="Arial Narrow" w:hAnsi="Arial Narrow"/>
              </w:rPr>
            </w:pPr>
            <w:r>
              <w:rPr>
                <w:rFonts w:ascii="Arial Narrow" w:hAnsi="Arial Narrow"/>
              </w:rPr>
              <w:t>Authorization: 1) evidence of formal authorization by the governing board and by the appropriate governmental agency to offer the proposed existing and/or new program(s) at the proposed site(s). If the institution is located in, or operates in, a state that has only minimal requirements for chartering, but also a higher level of authorization to grant degrees, approval at the higher level is required.</w:t>
            </w:r>
          </w:p>
          <w:p w14:paraId="09ACC7F5" w14:textId="77777777" w:rsidR="006D5CC6" w:rsidRDefault="006D5CC6">
            <w:pPr>
              <w:rPr>
                <w:rFonts w:ascii="Arial Narrow" w:hAnsi="Arial Narrow"/>
              </w:rPr>
            </w:pPr>
          </w:p>
        </w:tc>
        <w:tc>
          <w:tcPr>
            <w:tcW w:w="6588" w:type="dxa"/>
          </w:tcPr>
          <w:p w14:paraId="447FA8E4" w14:textId="77777777" w:rsidR="006D5CC6" w:rsidRDefault="006D5CC6">
            <w:pPr>
              <w:rPr>
                <w:rFonts w:ascii="Arial Narrow" w:hAnsi="Arial Narrow"/>
              </w:rPr>
            </w:pPr>
            <w:r>
              <w:rPr>
                <w:rFonts w:ascii="Arial Narrow" w:hAnsi="Arial Narrow"/>
              </w:rPr>
              <w:t>Use this boilerplate:</w:t>
            </w:r>
          </w:p>
          <w:p w14:paraId="707F1714" w14:textId="77777777" w:rsidR="006D5CC6" w:rsidRDefault="006D5CC6">
            <w:pPr>
              <w:rPr>
                <w:rFonts w:ascii="Arial Narrow" w:hAnsi="Arial Narrow"/>
              </w:rPr>
            </w:pPr>
            <w:r>
              <w:rPr>
                <w:rFonts w:ascii="Arial Narrow" w:hAnsi="Arial Narrow"/>
              </w:rPr>
              <w:t>The University of Alaska</w:t>
            </w:r>
            <w:r w:rsidR="0043666B">
              <w:rPr>
                <w:rFonts w:ascii="Arial Narrow" w:hAnsi="Arial Narrow"/>
              </w:rPr>
              <w:t xml:space="preserve"> Fairbanks (UAF) is one of four</w:t>
            </w:r>
            <w:r>
              <w:rPr>
                <w:rFonts w:ascii="Arial Narrow" w:hAnsi="Arial Narrow"/>
              </w:rPr>
              <w:t xml:space="preserve"> individually accredited universities within the </w:t>
            </w:r>
            <w:smartTag w:uri="urn:schemas-microsoft-com:office:smarttags" w:element="place">
              <w:smartTag w:uri="urn:schemas-microsoft-com:office:smarttags" w:element="PlaceType">
                <w:r>
                  <w:rPr>
                    <w:rFonts w:ascii="Arial Narrow" w:hAnsi="Arial Narrow"/>
                  </w:rPr>
                  <w:t>University</w:t>
                </w:r>
              </w:smartTag>
              <w:r>
                <w:rPr>
                  <w:rFonts w:ascii="Arial Narrow" w:hAnsi="Arial Narrow"/>
                </w:rPr>
                <w:t xml:space="preserve"> of </w:t>
              </w:r>
              <w:smartTag w:uri="urn:schemas-microsoft-com:office:smarttags" w:element="PlaceName">
                <w:r>
                  <w:rPr>
                    <w:rFonts w:ascii="Arial Narrow" w:hAnsi="Arial Narrow"/>
                  </w:rPr>
                  <w:t>Alaska</w:t>
                </w:r>
              </w:smartTag>
            </w:smartTag>
            <w:r>
              <w:rPr>
                <w:rFonts w:ascii="Arial Narrow" w:hAnsi="Arial Narrow"/>
              </w:rPr>
              <w:t xml:space="preserve"> system. UAF has been continuously accredi</w:t>
            </w:r>
            <w:r w:rsidR="0043666B">
              <w:rPr>
                <w:rFonts w:ascii="Arial Narrow" w:hAnsi="Arial Narrow"/>
              </w:rPr>
              <w:t xml:space="preserve">ted since 1934 by the Northwest Commission </w:t>
            </w:r>
            <w:r>
              <w:rPr>
                <w:rFonts w:ascii="Arial Narrow" w:hAnsi="Arial Narrow"/>
              </w:rPr>
              <w:t>on Colleges and Universities</w:t>
            </w:r>
            <w:r w:rsidR="0043666B">
              <w:rPr>
                <w:rFonts w:ascii="Arial Narrow" w:hAnsi="Arial Narrow"/>
              </w:rPr>
              <w:t>.</w:t>
            </w:r>
            <w:r>
              <w:rPr>
                <w:rFonts w:ascii="Arial Narrow" w:hAnsi="Arial Narrow"/>
              </w:rPr>
              <w:t xml:space="preserve"> </w:t>
            </w:r>
          </w:p>
          <w:p w14:paraId="56A55BD1" w14:textId="77777777" w:rsidR="006D5CC6" w:rsidRDefault="006D5CC6">
            <w:pPr>
              <w:rPr>
                <w:rFonts w:ascii="Arial Narrow" w:hAnsi="Arial Narrow"/>
              </w:rPr>
            </w:pPr>
          </w:p>
          <w:p w14:paraId="20C03D04" w14:textId="77777777" w:rsidR="006D5CC6" w:rsidRDefault="006D5CC6">
            <w:pPr>
              <w:rPr>
                <w:rFonts w:ascii="Arial Narrow" w:hAnsi="Arial Narrow"/>
              </w:rPr>
            </w:pPr>
            <w:r>
              <w:rPr>
                <w:rFonts w:ascii="Arial Narrow" w:hAnsi="Arial Narrow"/>
              </w:rPr>
              <w:t xml:space="preserve">The Constitution of the State of </w:t>
            </w:r>
            <w:smartTag w:uri="urn:schemas-microsoft-com:office:smarttags" w:element="State">
              <w:r>
                <w:rPr>
                  <w:rFonts w:ascii="Arial Narrow" w:hAnsi="Arial Narrow"/>
                </w:rPr>
                <w:t>Alaska</w:t>
              </w:r>
            </w:smartTag>
            <w:r>
              <w:rPr>
                <w:rFonts w:ascii="Arial Narrow" w:hAnsi="Arial Narrow"/>
              </w:rPr>
              <w:t xml:space="preserve"> establishes the </w:t>
            </w:r>
            <w:smartTag w:uri="urn:schemas-microsoft-com:office:smarttags" w:element="place">
              <w:smartTag w:uri="urn:schemas-microsoft-com:office:smarttags" w:element="PlaceType">
                <w:r>
                  <w:rPr>
                    <w:rFonts w:ascii="Arial Narrow" w:hAnsi="Arial Narrow"/>
                  </w:rPr>
                  <w:t>University</w:t>
                </w:r>
              </w:smartTag>
              <w:r>
                <w:rPr>
                  <w:rFonts w:ascii="Arial Narrow" w:hAnsi="Arial Narrow"/>
                </w:rPr>
                <w:t xml:space="preserve"> of </w:t>
              </w:r>
              <w:smartTag w:uri="urn:schemas-microsoft-com:office:smarttags" w:element="PlaceName">
                <w:r>
                  <w:rPr>
                    <w:rFonts w:ascii="Arial Narrow" w:hAnsi="Arial Narrow"/>
                  </w:rPr>
                  <w:t>Alaska</w:t>
                </w:r>
              </w:smartTag>
            </w:smartTag>
            <w:r>
              <w:rPr>
                <w:rFonts w:ascii="Arial Narrow" w:hAnsi="Arial Narrow"/>
              </w:rPr>
              <w:t xml:space="preserve"> as the state university, governed by a Board of Regents appointed by the governor. Alaska Statutes provide for a board of eleven voting members, including one student, with authority to carry out the mission of the university system and its constituent units, including the determination and regulation of the university’s course of instruction and the conferring of degrees. Members of the board have no contractual, employment, or financial interest in the university. The chair is elected from among the board. The board appoints the president of the university system, who in turn appoints the chancellor of UAF. Both officers are full-time employees whose only responsibility is to the institution.</w:t>
            </w:r>
          </w:p>
        </w:tc>
      </w:tr>
      <w:tr w:rsidR="006D5CC6" w14:paraId="329A8A05" w14:textId="77777777">
        <w:tc>
          <w:tcPr>
            <w:tcW w:w="6588" w:type="dxa"/>
          </w:tcPr>
          <w:p w14:paraId="10A1CD7D" w14:textId="4484E93A" w:rsidR="006D5CC6" w:rsidRDefault="006D5CC6">
            <w:pPr>
              <w:numPr>
                <w:ilvl w:val="0"/>
                <w:numId w:val="1"/>
              </w:numPr>
              <w:rPr>
                <w:rFonts w:ascii="Arial Narrow" w:hAnsi="Arial Narrow"/>
              </w:rPr>
            </w:pPr>
            <w:r>
              <w:rPr>
                <w:rFonts w:ascii="Arial Narrow" w:hAnsi="Arial Narrow"/>
              </w:rPr>
              <w:t xml:space="preserve">Educational Offerings: 1) </w:t>
            </w:r>
            <w:r w:rsidR="00FD67A1">
              <w:rPr>
                <w:rFonts w:ascii="Arial Narrow" w:hAnsi="Arial Narrow"/>
              </w:rPr>
              <w:t>description</w:t>
            </w:r>
            <w:r>
              <w:rPr>
                <w:rFonts w:ascii="Arial Narrow" w:hAnsi="Arial Narrow"/>
              </w:rPr>
              <w:t xml:space="preserve"> of the educational offering(s)</w:t>
            </w:r>
            <w:r w:rsidR="00FD67A1">
              <w:rPr>
                <w:rFonts w:ascii="Arial Narrow" w:hAnsi="Arial Narrow"/>
              </w:rPr>
              <w:t xml:space="preserve"> including credits to completion, courses by title and assigned academic credit granted</w:t>
            </w:r>
            <w:r>
              <w:rPr>
                <w:rFonts w:ascii="Arial Narrow" w:hAnsi="Arial Narrow"/>
              </w:rPr>
              <w:t xml:space="preserve">; and 2) </w:t>
            </w:r>
            <w:r w:rsidR="00FD67A1">
              <w:rPr>
                <w:rFonts w:ascii="Arial Narrow" w:hAnsi="Arial Narrow"/>
              </w:rPr>
              <w:t>description of method of instructional delivery (ie. Type of delivery including percent of face-to-face, hybrid, distance delivery, and/or competency-based); description of expected student learning outcomes; description of the assessment plan for student learning outcomes; 5) evidence of approval by the appropriate academic policy body of the institution.</w:t>
            </w:r>
          </w:p>
          <w:p w14:paraId="2A54E783" w14:textId="77777777" w:rsidR="006D5CC6" w:rsidRDefault="006D5CC6">
            <w:pPr>
              <w:rPr>
                <w:rFonts w:ascii="Arial Narrow" w:hAnsi="Arial Narrow"/>
              </w:rPr>
            </w:pPr>
          </w:p>
        </w:tc>
        <w:tc>
          <w:tcPr>
            <w:tcW w:w="6588" w:type="dxa"/>
          </w:tcPr>
          <w:p w14:paraId="164261C9" w14:textId="77777777" w:rsidR="006D5CC6" w:rsidRDefault="006D5CC6">
            <w:pPr>
              <w:rPr>
                <w:rFonts w:ascii="Arial Narrow" w:hAnsi="Arial Narrow"/>
              </w:rPr>
            </w:pPr>
            <w:r>
              <w:rPr>
                <w:rFonts w:ascii="Arial Narrow" w:hAnsi="Arial Narrow"/>
              </w:rPr>
              <w:t>Executive Summary</w:t>
            </w:r>
          </w:p>
          <w:p w14:paraId="0BAE23A8" w14:textId="77777777" w:rsidR="006D5CC6" w:rsidRDefault="006D5CC6">
            <w:pPr>
              <w:rPr>
                <w:rFonts w:ascii="Arial Narrow" w:hAnsi="Arial Narrow"/>
              </w:rPr>
            </w:pPr>
            <w:r>
              <w:rPr>
                <w:rFonts w:ascii="Arial Narrow" w:hAnsi="Arial Narrow"/>
              </w:rPr>
              <w:t xml:space="preserve">Board of Regents motion and action from </w:t>
            </w:r>
            <w:r w:rsidR="00CC59C4">
              <w:rPr>
                <w:rFonts w:ascii="Arial Narrow" w:hAnsi="Arial Narrow"/>
              </w:rPr>
              <w:t xml:space="preserve">Faculty Senate </w:t>
            </w:r>
            <w:r>
              <w:rPr>
                <w:rFonts w:ascii="Arial Narrow" w:hAnsi="Arial Narrow"/>
              </w:rPr>
              <w:t>minutes</w:t>
            </w:r>
            <w:r w:rsidR="008A6FAB">
              <w:rPr>
                <w:rFonts w:ascii="Arial Narrow" w:hAnsi="Arial Narrow"/>
              </w:rPr>
              <w:t xml:space="preserve"> – Provost’s Office will provide this.</w:t>
            </w:r>
          </w:p>
        </w:tc>
      </w:tr>
      <w:tr w:rsidR="006D5CC6" w14:paraId="07FAFA49" w14:textId="77777777">
        <w:tc>
          <w:tcPr>
            <w:tcW w:w="6588" w:type="dxa"/>
          </w:tcPr>
          <w:p w14:paraId="6DADBF2D" w14:textId="02F18621" w:rsidR="006D5CC6" w:rsidRDefault="006D5CC6">
            <w:pPr>
              <w:numPr>
                <w:ilvl w:val="0"/>
                <w:numId w:val="1"/>
              </w:numPr>
              <w:rPr>
                <w:rFonts w:ascii="Arial Narrow" w:hAnsi="Arial Narrow"/>
              </w:rPr>
            </w:pPr>
            <w:r>
              <w:rPr>
                <w:rFonts w:ascii="Arial Narrow" w:hAnsi="Arial Narrow"/>
              </w:rPr>
              <w:t>Planning: 1) plans and descriptive materials indicating evidence of need for the change, the student clientele to be served</w:t>
            </w:r>
            <w:r w:rsidR="00FD67A1">
              <w:rPr>
                <w:rFonts w:ascii="Arial Narrow" w:hAnsi="Arial Narrow"/>
              </w:rPr>
              <w:t xml:space="preserve"> </w:t>
            </w:r>
            <w:r w:rsidR="00FD67A1" w:rsidRPr="00FD67A1">
              <w:rPr>
                <w:rFonts w:ascii="Arial Narrow" w:hAnsi="Arial Narrow"/>
              </w:rPr>
              <w:t xml:space="preserve">(common resources include </w:t>
            </w:r>
            <w:hyperlink r:id="rId8" w:history="1">
              <w:r w:rsidR="00FD67A1" w:rsidRPr="00FD67A1">
                <w:rPr>
                  <w:rStyle w:val="Hyperlink"/>
                  <w:rFonts w:ascii="Arial Narrow" w:hAnsi="Arial Narrow"/>
                </w:rPr>
                <w:t>EMSI</w:t>
              </w:r>
            </w:hyperlink>
            <w:r w:rsidR="00FD67A1">
              <w:rPr>
                <w:rFonts w:ascii="Arial Narrow" w:hAnsi="Arial Narrow"/>
              </w:rPr>
              <w:t xml:space="preserve"> </w:t>
            </w:r>
            <w:r w:rsidR="00FD67A1" w:rsidRPr="00FD67A1">
              <w:rPr>
                <w:rFonts w:ascii="Arial Narrow" w:hAnsi="Arial Narrow"/>
              </w:rPr>
              <w:t xml:space="preserve">and the </w:t>
            </w:r>
            <w:hyperlink r:id="rId9" w:history="1">
              <w:r w:rsidR="00FD67A1" w:rsidRPr="00FD67A1">
                <w:rPr>
                  <w:rStyle w:val="Hyperlink"/>
                  <w:rFonts w:ascii="Arial Narrow" w:hAnsi="Arial Narrow"/>
                </w:rPr>
                <w:t>BLS</w:t>
              </w:r>
              <w:r w:rsidR="00FD67A1" w:rsidRPr="00FD67A1">
                <w:rPr>
                  <w:rStyle w:val="Hyperlink"/>
                  <w:rFonts w:ascii="Arial Narrow" w:hAnsi="Arial Narrow"/>
                </w:rPr>
                <w:t xml:space="preserve"> </w:t>
              </w:r>
              <w:r w:rsidR="00FD67A1" w:rsidRPr="00FD67A1">
                <w:rPr>
                  <w:rStyle w:val="Hyperlink"/>
                  <w:rFonts w:ascii="Arial Narrow" w:hAnsi="Arial Narrow"/>
                </w:rPr>
                <w:t>Occupational Outlook Handbook</w:t>
              </w:r>
            </w:hyperlink>
            <w:r w:rsidR="00FD67A1" w:rsidRPr="00FD67A1">
              <w:rPr>
                <w:rFonts w:ascii="Arial Narrow" w:hAnsi="Arial Narrow"/>
              </w:rPr>
              <w:t>)</w:t>
            </w:r>
            <w:r>
              <w:rPr>
                <w:rFonts w:ascii="Arial Narrow" w:hAnsi="Arial Narrow"/>
              </w:rPr>
              <w:t xml:space="preserve">; 2) the procedures used in arriving at the decision to change; 3) timetable for implementation. </w:t>
            </w:r>
          </w:p>
          <w:p w14:paraId="3D8C07A0" w14:textId="77777777" w:rsidR="006D5CC6" w:rsidRDefault="006D5CC6">
            <w:pPr>
              <w:rPr>
                <w:rFonts w:ascii="Arial Narrow" w:hAnsi="Arial Narrow"/>
              </w:rPr>
            </w:pPr>
          </w:p>
        </w:tc>
        <w:tc>
          <w:tcPr>
            <w:tcW w:w="6588" w:type="dxa"/>
          </w:tcPr>
          <w:p w14:paraId="7F44A856" w14:textId="77777777" w:rsidR="006D5CC6" w:rsidRDefault="006D5CC6" w:rsidP="005B06F5">
            <w:pPr>
              <w:rPr>
                <w:rFonts w:ascii="Arial Narrow" w:hAnsi="Arial Narrow"/>
                <w:vertAlign w:val="superscript"/>
              </w:rPr>
            </w:pPr>
          </w:p>
        </w:tc>
      </w:tr>
    </w:tbl>
    <w:p w14:paraId="42606C8E" w14:textId="77777777" w:rsidR="006D5CC6" w:rsidRDefault="006D5CC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6"/>
        <w:gridCol w:w="6464"/>
      </w:tblGrid>
      <w:tr w:rsidR="006D5CC6" w14:paraId="24EC88B2" w14:textId="77777777">
        <w:tc>
          <w:tcPr>
            <w:tcW w:w="6588" w:type="dxa"/>
          </w:tcPr>
          <w:p w14:paraId="13DC4809" w14:textId="60527575" w:rsidR="006D5CC6" w:rsidRDefault="005B06F5" w:rsidP="005B06F5">
            <w:pPr>
              <w:numPr>
                <w:ilvl w:val="0"/>
                <w:numId w:val="1"/>
              </w:numPr>
              <w:rPr>
                <w:rFonts w:ascii="Arial Narrow" w:hAnsi="Arial Narrow"/>
                <w:i/>
                <w:iCs/>
              </w:rPr>
            </w:pPr>
            <w:r>
              <w:rPr>
                <w:rFonts w:ascii="Arial Narrow" w:hAnsi="Arial Narrow"/>
              </w:rPr>
              <w:lastRenderedPageBreak/>
              <w:t>Student Services: 1) capacity of student services to accommodate the change; and 2) implications of the change for services to the rest of the student body.</w:t>
            </w:r>
          </w:p>
          <w:p w14:paraId="04C43C64" w14:textId="77777777" w:rsidR="006D5CC6" w:rsidRDefault="006D5CC6">
            <w:pPr>
              <w:rPr>
                <w:rFonts w:ascii="Arial Narrow" w:hAnsi="Arial Narrow"/>
              </w:rPr>
            </w:pPr>
          </w:p>
        </w:tc>
        <w:tc>
          <w:tcPr>
            <w:tcW w:w="6588" w:type="dxa"/>
          </w:tcPr>
          <w:p w14:paraId="774D87DD" w14:textId="29D63CF8" w:rsidR="006D5CC6" w:rsidRPr="00FF3CE3" w:rsidRDefault="00FF3CE3" w:rsidP="00FF3CE3">
            <w:pPr>
              <w:rPr>
                <w:rFonts w:ascii="Arial Narrow" w:hAnsi="Arial Narrow"/>
              </w:rPr>
            </w:pPr>
            <w:r>
              <w:rPr>
                <w:rFonts w:ascii="Arial Narrow" w:hAnsi="Arial Narrow"/>
              </w:rPr>
              <w:t>Item 1) should be addressed narratively, item 2) is on a c</w:t>
            </w:r>
            <w:r w:rsidR="005B06F5" w:rsidRPr="00FF3CE3">
              <w:rPr>
                <w:rFonts w:ascii="Arial Narrow" w:hAnsi="Arial Narrow"/>
              </w:rPr>
              <w:t>ase-by-case basis</w:t>
            </w:r>
            <w:r>
              <w:rPr>
                <w:rFonts w:ascii="Arial Narrow" w:hAnsi="Arial Narrow"/>
              </w:rPr>
              <w:t xml:space="preserve"> but is g</w:t>
            </w:r>
            <w:r w:rsidR="005B06F5" w:rsidRPr="00FF3CE3">
              <w:rPr>
                <w:rFonts w:ascii="Arial Narrow" w:hAnsi="Arial Narrow"/>
              </w:rPr>
              <w:t>enerally none.</w:t>
            </w:r>
          </w:p>
          <w:p w14:paraId="74622AAF" w14:textId="77777777" w:rsidR="006D5CC6" w:rsidRDefault="006D5CC6">
            <w:pPr>
              <w:rPr>
                <w:rFonts w:ascii="Arial Narrow" w:hAnsi="Arial Narrow"/>
              </w:rPr>
            </w:pPr>
          </w:p>
          <w:p w14:paraId="7D97001E" w14:textId="40DF16F0" w:rsidR="006D5CC6" w:rsidRDefault="006D5CC6">
            <w:pPr>
              <w:rPr>
                <w:rFonts w:ascii="Arial Narrow" w:hAnsi="Arial Narrow"/>
              </w:rPr>
            </w:pPr>
          </w:p>
        </w:tc>
      </w:tr>
      <w:tr w:rsidR="006D5CC6" w14:paraId="71130377" w14:textId="77777777">
        <w:tc>
          <w:tcPr>
            <w:tcW w:w="6588" w:type="dxa"/>
          </w:tcPr>
          <w:p w14:paraId="66F85C29" w14:textId="45462AB5" w:rsidR="006D5CC6" w:rsidRPr="005B06F5" w:rsidRDefault="005B06F5" w:rsidP="005B06F5">
            <w:pPr>
              <w:numPr>
                <w:ilvl w:val="0"/>
                <w:numId w:val="1"/>
              </w:numPr>
              <w:rPr>
                <w:rFonts w:ascii="Arial Narrow" w:hAnsi="Arial Narrow"/>
              </w:rPr>
            </w:pPr>
            <w:r>
              <w:rPr>
                <w:rFonts w:ascii="Arial Narrow" w:hAnsi="Arial Narrow"/>
              </w:rPr>
              <w:t>Physical Facilities: provision for physical facilities and equipment</w:t>
            </w:r>
          </w:p>
          <w:p w14:paraId="60F48AF3" w14:textId="77777777" w:rsidR="006D5CC6" w:rsidRDefault="006D5CC6">
            <w:pPr>
              <w:rPr>
                <w:rFonts w:ascii="Arial Narrow" w:hAnsi="Arial Narrow"/>
              </w:rPr>
            </w:pPr>
          </w:p>
        </w:tc>
        <w:tc>
          <w:tcPr>
            <w:tcW w:w="6588" w:type="dxa"/>
          </w:tcPr>
          <w:p w14:paraId="2083885C" w14:textId="1AEDB81C" w:rsidR="006D5CC6" w:rsidRDefault="006D5CC6">
            <w:pPr>
              <w:rPr>
                <w:rFonts w:ascii="Arial Narrow" w:hAnsi="Arial Narrow"/>
              </w:rPr>
            </w:pPr>
            <w:r>
              <w:rPr>
                <w:rFonts w:ascii="Arial Narrow" w:hAnsi="Arial Narrow"/>
              </w:rPr>
              <w:t xml:space="preserve">Case-by-case basis. </w:t>
            </w:r>
          </w:p>
        </w:tc>
      </w:tr>
      <w:tr w:rsidR="006D5CC6" w14:paraId="177DD64F" w14:textId="77777777">
        <w:tc>
          <w:tcPr>
            <w:tcW w:w="6588" w:type="dxa"/>
          </w:tcPr>
          <w:p w14:paraId="1F39DCE9" w14:textId="059C1C04" w:rsidR="005B06F5" w:rsidRPr="005B06F5" w:rsidRDefault="005B06F5" w:rsidP="005B06F5">
            <w:pPr>
              <w:pStyle w:val="ListParagraph"/>
              <w:numPr>
                <w:ilvl w:val="0"/>
                <w:numId w:val="1"/>
              </w:numPr>
              <w:rPr>
                <w:rFonts w:ascii="Arial Narrow" w:hAnsi="Arial Narrow"/>
              </w:rPr>
            </w:pPr>
            <w:r w:rsidRPr="005B06F5">
              <w:rPr>
                <w:rFonts w:ascii="Arial Narrow" w:hAnsi="Arial Narrow"/>
              </w:rPr>
              <w:t>Library and Information Resources</w:t>
            </w:r>
            <w:r w:rsidR="006D5CC6" w:rsidRPr="005B06F5">
              <w:rPr>
                <w:rFonts w:ascii="Arial Narrow" w:hAnsi="Arial Narrow"/>
              </w:rPr>
              <w:t xml:space="preserve">: 1) </w:t>
            </w:r>
            <w:r w:rsidRPr="005B06F5">
              <w:rPr>
                <w:rFonts w:ascii="Arial Narrow" w:hAnsi="Arial Narrow"/>
              </w:rPr>
              <w:t>adequacy and availability of library and information resources.</w:t>
            </w:r>
          </w:p>
          <w:p w14:paraId="167AD701" w14:textId="09DC8D32" w:rsidR="006D5CC6" w:rsidRDefault="006D5CC6">
            <w:pPr>
              <w:rPr>
                <w:rFonts w:ascii="Arial Narrow" w:hAnsi="Arial Narrow"/>
              </w:rPr>
            </w:pPr>
          </w:p>
        </w:tc>
        <w:tc>
          <w:tcPr>
            <w:tcW w:w="6588" w:type="dxa"/>
          </w:tcPr>
          <w:p w14:paraId="0196F691" w14:textId="247662CA" w:rsidR="006D5CC6" w:rsidRDefault="00FF3CE3">
            <w:pPr>
              <w:rPr>
                <w:rFonts w:ascii="Arial Narrow" w:hAnsi="Arial Narrow"/>
              </w:rPr>
            </w:pPr>
            <w:r>
              <w:rPr>
                <w:rFonts w:ascii="Arial Narrow" w:hAnsi="Arial Narrow"/>
              </w:rPr>
              <w:t>Case-by-case basis.</w:t>
            </w:r>
          </w:p>
        </w:tc>
      </w:tr>
      <w:tr w:rsidR="006D5CC6" w14:paraId="4CE62841" w14:textId="77777777">
        <w:tc>
          <w:tcPr>
            <w:tcW w:w="6588" w:type="dxa"/>
          </w:tcPr>
          <w:p w14:paraId="19B0BA2F" w14:textId="68464A50" w:rsidR="006D5CC6" w:rsidRPr="005B06F5" w:rsidRDefault="005B06F5" w:rsidP="005B06F5">
            <w:pPr>
              <w:pStyle w:val="ListParagraph"/>
              <w:numPr>
                <w:ilvl w:val="0"/>
                <w:numId w:val="1"/>
              </w:numPr>
              <w:rPr>
                <w:rFonts w:ascii="Arial Narrow" w:hAnsi="Arial Narrow"/>
              </w:rPr>
            </w:pPr>
            <w:r w:rsidRPr="005B06F5">
              <w:rPr>
                <w:rFonts w:ascii="Arial Narrow" w:hAnsi="Arial Narrow"/>
              </w:rPr>
              <w:t xml:space="preserve">Faculty: 1) analysis of the faculty and staff </w:t>
            </w:r>
            <w:r>
              <w:rPr>
                <w:rFonts w:ascii="Arial Narrow" w:hAnsi="Arial Narrow"/>
              </w:rPr>
              <w:t xml:space="preserve">resources </w:t>
            </w:r>
            <w:r w:rsidRPr="005B06F5">
              <w:rPr>
                <w:rFonts w:ascii="Arial Narrow" w:hAnsi="Arial Narrow"/>
              </w:rPr>
              <w:t>needed</w:t>
            </w:r>
            <w:r>
              <w:rPr>
                <w:rFonts w:ascii="Arial Narrow" w:hAnsi="Arial Narrow"/>
              </w:rPr>
              <w:t>, including educational and professional credentials, experience, and qualifications of faculty members relative to their individual teaching assignments</w:t>
            </w:r>
            <w:r w:rsidRPr="005B06F5">
              <w:rPr>
                <w:rFonts w:ascii="Arial Narrow" w:hAnsi="Arial Narrow"/>
              </w:rPr>
              <w:t>;</w:t>
            </w:r>
            <w:r>
              <w:rPr>
                <w:rFonts w:ascii="Arial Narrow" w:hAnsi="Arial Narrow"/>
              </w:rPr>
              <w:t xml:space="preserve"> and</w:t>
            </w:r>
            <w:r w:rsidRPr="005B06F5">
              <w:rPr>
                <w:rFonts w:ascii="Arial Narrow" w:hAnsi="Arial Narrow"/>
              </w:rPr>
              <w:t xml:space="preserve"> 2) anticipated sources or plans to secure qualified faculty and staff</w:t>
            </w:r>
            <w:r>
              <w:rPr>
                <w:rFonts w:ascii="Arial Narrow" w:hAnsi="Arial Narrow"/>
              </w:rPr>
              <w:t>.</w:t>
            </w:r>
          </w:p>
        </w:tc>
        <w:tc>
          <w:tcPr>
            <w:tcW w:w="6588" w:type="dxa"/>
          </w:tcPr>
          <w:p w14:paraId="2BE35FFD" w14:textId="04A3DD06" w:rsidR="006D5CC6" w:rsidRDefault="00FF3CE3">
            <w:pPr>
              <w:rPr>
                <w:rFonts w:ascii="Arial Narrow" w:hAnsi="Arial Narrow"/>
              </w:rPr>
            </w:pPr>
            <w:r>
              <w:rPr>
                <w:rFonts w:ascii="Arial Narrow" w:hAnsi="Arial Narrow"/>
              </w:rPr>
              <w:t>Case-by-case basis.</w:t>
            </w:r>
          </w:p>
        </w:tc>
      </w:tr>
      <w:tr w:rsidR="006D5CC6" w14:paraId="666EF5B4" w14:textId="77777777">
        <w:tc>
          <w:tcPr>
            <w:tcW w:w="6588" w:type="dxa"/>
          </w:tcPr>
          <w:p w14:paraId="34A31A0F" w14:textId="035DC5CD" w:rsidR="006D5CC6" w:rsidRDefault="005B06F5" w:rsidP="005B06F5">
            <w:pPr>
              <w:numPr>
                <w:ilvl w:val="0"/>
                <w:numId w:val="1"/>
              </w:numPr>
              <w:rPr>
                <w:rFonts w:ascii="Arial Narrow" w:hAnsi="Arial Narrow"/>
              </w:rPr>
            </w:pPr>
            <w:r>
              <w:rPr>
                <w:rFonts w:ascii="Arial Narrow" w:hAnsi="Arial Narrow"/>
              </w:rPr>
              <w:t>Budget</w:t>
            </w:r>
            <w:r w:rsidR="006D5CC6">
              <w:rPr>
                <w:rFonts w:ascii="Arial Narrow" w:hAnsi="Arial Narrow"/>
              </w:rPr>
              <w:t xml:space="preserve">: 1) </w:t>
            </w:r>
            <w:r>
              <w:rPr>
                <w:rFonts w:ascii="Arial Narrow" w:hAnsi="Arial Narrow"/>
              </w:rPr>
              <w:t>revenue and expenditures at the program or department level one year prior to the change (if applicable)</w:t>
            </w:r>
            <w:r w:rsidR="006D5CC6">
              <w:rPr>
                <w:rFonts w:ascii="Arial Narrow" w:hAnsi="Arial Narrow"/>
              </w:rPr>
              <w:t xml:space="preserve">; 2) </w:t>
            </w:r>
            <w:r w:rsidR="00FF3CE3">
              <w:rPr>
                <w:rFonts w:ascii="Arial Narrow" w:hAnsi="Arial Narrow"/>
              </w:rPr>
              <w:t>projections of revenue and expenditures at the program or departmental level for each of the first three years of operation</w:t>
            </w:r>
            <w:r w:rsidR="006D5CC6">
              <w:rPr>
                <w:rFonts w:ascii="Arial Narrow" w:hAnsi="Arial Narrow"/>
              </w:rPr>
              <w:t xml:space="preserve">; 3) </w:t>
            </w:r>
            <w:r w:rsidR="00FF3CE3">
              <w:rPr>
                <w:rFonts w:ascii="Arial Narrow" w:hAnsi="Arial Narrow"/>
              </w:rPr>
              <w:t>designated revenue and expenditures associated with the change itself; 4) institutional financial support to be reallocated to accommodate the change; and 5) budgetary and financial implications of the change for the entire institution.</w:t>
            </w:r>
          </w:p>
          <w:p w14:paraId="702B801F" w14:textId="77777777" w:rsidR="006D5CC6" w:rsidRDefault="006D5CC6">
            <w:pPr>
              <w:rPr>
                <w:rFonts w:ascii="Arial Narrow" w:hAnsi="Arial Narrow"/>
              </w:rPr>
            </w:pPr>
          </w:p>
          <w:p w14:paraId="4FDF1AD3" w14:textId="77777777" w:rsidR="006D5CC6" w:rsidRDefault="006D5CC6">
            <w:pPr>
              <w:rPr>
                <w:rFonts w:ascii="Arial Narrow" w:hAnsi="Arial Narrow"/>
              </w:rPr>
            </w:pPr>
          </w:p>
        </w:tc>
        <w:tc>
          <w:tcPr>
            <w:tcW w:w="6588" w:type="dxa"/>
          </w:tcPr>
          <w:p w14:paraId="64BDE494" w14:textId="56100D67" w:rsidR="00FF3CE3" w:rsidRPr="00FF3CE3" w:rsidRDefault="00FF3CE3" w:rsidP="00FF3CE3">
            <w:pPr>
              <w:tabs>
                <w:tab w:val="left" w:pos="935"/>
              </w:tabs>
              <w:spacing w:before="120"/>
              <w:rPr>
                <w:b/>
                <w:sz w:val="24"/>
                <w:szCs w:val="24"/>
              </w:rPr>
            </w:pPr>
            <w:r w:rsidRPr="00FF3CE3">
              <w:rPr>
                <w:rFonts w:ascii="Arial Narrow" w:hAnsi="Arial Narrow"/>
              </w:rPr>
              <w:t>Use NWCCU’s provided</w:t>
            </w:r>
            <w:r w:rsidRPr="00FF3CE3">
              <w:rPr>
                <w:rFonts w:ascii="Arial Narrow" w:hAnsi="Arial Narrow"/>
                <w:b/>
                <w:bCs/>
              </w:rPr>
              <w:t xml:space="preserve"> </w:t>
            </w:r>
            <w:hyperlink r:id="rId10" w:history="1">
              <w:r w:rsidRPr="00FF3CE3">
                <w:rPr>
                  <w:rStyle w:val="Hyperlink"/>
                  <w:rFonts w:ascii="Arial Narrow" w:hAnsi="Arial Narrow"/>
                </w:rPr>
                <w:t xml:space="preserve">Budget </w:t>
              </w:r>
              <w:r w:rsidRPr="00FF3CE3">
                <w:rPr>
                  <w:rStyle w:val="Hyperlink"/>
                  <w:rFonts w:ascii="Arial Narrow" w:hAnsi="Arial Narrow"/>
                </w:rPr>
                <w:t>W</w:t>
              </w:r>
              <w:r w:rsidRPr="00FF3CE3">
                <w:rPr>
                  <w:rStyle w:val="Hyperlink"/>
                  <w:rFonts w:ascii="Arial Narrow" w:hAnsi="Arial Narrow"/>
                </w:rPr>
                <w:t>orksheet</w:t>
              </w:r>
            </w:hyperlink>
            <w:r w:rsidRPr="00FF3CE3">
              <w:rPr>
                <w:rStyle w:val="Hyperlink"/>
                <w:rFonts w:ascii="Arial Narrow" w:hAnsi="Arial Narrow"/>
                <w:color w:val="auto"/>
                <w:u w:val="none"/>
              </w:rPr>
              <w:t xml:space="preserve"> template</w:t>
            </w:r>
          </w:p>
          <w:p w14:paraId="3D14EA58" w14:textId="63F6DC80" w:rsidR="006D5CC6" w:rsidRDefault="006D5CC6">
            <w:pPr>
              <w:rPr>
                <w:rFonts w:ascii="Arial Narrow" w:hAnsi="Arial Narrow"/>
              </w:rPr>
            </w:pPr>
          </w:p>
        </w:tc>
      </w:tr>
    </w:tbl>
    <w:p w14:paraId="49D4DC06" w14:textId="77777777" w:rsidR="006D5CC6" w:rsidRDefault="006D5CC6">
      <w:pPr>
        <w:rPr>
          <w:rFonts w:ascii="Arial Narrow" w:hAnsi="Arial Narrow"/>
        </w:rPr>
      </w:pPr>
    </w:p>
    <w:p w14:paraId="3A3EC2D4" w14:textId="1C94E609" w:rsidR="00CC59C4" w:rsidRPr="00EC20B1" w:rsidRDefault="00CC59C4">
      <w:pPr>
        <w:rPr>
          <w:rFonts w:ascii="Arial Narrow" w:hAnsi="Arial Narrow"/>
          <w:sz w:val="24"/>
          <w:szCs w:val="24"/>
        </w:rPr>
      </w:pPr>
      <w:r w:rsidRPr="00EC20B1">
        <w:rPr>
          <w:rFonts w:ascii="Arial Narrow" w:hAnsi="Arial Narrow"/>
          <w:sz w:val="24"/>
          <w:szCs w:val="24"/>
        </w:rPr>
        <w:t xml:space="preserve">The Provost’s Office will </w:t>
      </w:r>
      <w:r w:rsidR="00FD67A1">
        <w:rPr>
          <w:rFonts w:ascii="Arial Narrow" w:hAnsi="Arial Narrow"/>
          <w:sz w:val="24"/>
          <w:szCs w:val="24"/>
        </w:rPr>
        <w:t>s</w:t>
      </w:r>
      <w:r w:rsidRPr="00EC20B1">
        <w:rPr>
          <w:rFonts w:ascii="Arial Narrow" w:hAnsi="Arial Narrow"/>
          <w:sz w:val="24"/>
          <w:szCs w:val="24"/>
        </w:rPr>
        <w:t xml:space="preserve">ubmit </w:t>
      </w:r>
      <w:r w:rsidR="00FD67A1">
        <w:rPr>
          <w:rFonts w:ascii="Arial Narrow" w:hAnsi="Arial Narrow"/>
          <w:sz w:val="24"/>
          <w:szCs w:val="24"/>
        </w:rPr>
        <w:t>proposals</w:t>
      </w:r>
      <w:r w:rsidRPr="00EC20B1">
        <w:rPr>
          <w:rFonts w:ascii="Arial Narrow" w:hAnsi="Arial Narrow"/>
          <w:sz w:val="24"/>
          <w:szCs w:val="24"/>
        </w:rPr>
        <w:t xml:space="preserve"> to NWCCU </w:t>
      </w:r>
      <w:r w:rsidR="00EC20B1" w:rsidRPr="00EC20B1">
        <w:rPr>
          <w:rFonts w:ascii="Arial Narrow" w:hAnsi="Arial Narrow"/>
          <w:sz w:val="24"/>
          <w:szCs w:val="24"/>
        </w:rPr>
        <w:t xml:space="preserve">for approval.  </w:t>
      </w:r>
      <w:r w:rsidR="00EC20B1" w:rsidRPr="00EC20B1">
        <w:rPr>
          <w:rFonts w:ascii="Arial Narrow" w:hAnsi="Arial Narrow"/>
          <w:i/>
          <w:sz w:val="24"/>
          <w:szCs w:val="24"/>
        </w:rPr>
        <w:t>Please note: UAF is unable to advertise, offer, list, or enroll students in programs that have not received NWCCU approval.</w:t>
      </w:r>
      <w:r w:rsidR="00FD67A1">
        <w:rPr>
          <w:rFonts w:ascii="Arial Narrow" w:hAnsi="Arial Narrow"/>
          <w:i/>
          <w:sz w:val="24"/>
          <w:szCs w:val="24"/>
        </w:rPr>
        <w:t xml:space="preserve"> </w:t>
      </w:r>
      <w:r w:rsidR="00EC20B1" w:rsidRPr="00EC20B1">
        <w:rPr>
          <w:rFonts w:ascii="Arial Narrow" w:hAnsi="Arial Narrow"/>
          <w:sz w:val="24"/>
          <w:szCs w:val="24"/>
        </w:rPr>
        <w:t xml:space="preserve">Upon receiving notice of NWCCU dis-/approval, the Provost’s Office will notify all appropriate parties, including the new program’s unit, the Registrar, etc.  </w:t>
      </w:r>
    </w:p>
    <w:sectPr w:rsidR="00CC59C4" w:rsidRPr="00EC20B1" w:rsidSect="0085315F">
      <w:headerReference w:type="default" r:id="rId11"/>
      <w:footerReference w:type="even" r:id="rId12"/>
      <w:footerReference w:type="default" r:id="rId13"/>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D59C" w14:textId="77777777" w:rsidR="00AF0E86" w:rsidRDefault="00AF0E86">
      <w:r>
        <w:separator/>
      </w:r>
    </w:p>
  </w:endnote>
  <w:endnote w:type="continuationSeparator" w:id="0">
    <w:p w14:paraId="390F365D" w14:textId="77777777" w:rsidR="00AF0E86" w:rsidRDefault="00AF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41D5" w14:textId="77777777" w:rsidR="0085315F" w:rsidRDefault="0085315F" w:rsidP="00F7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06A3D" w14:textId="77777777" w:rsidR="0085315F" w:rsidRDefault="0085315F" w:rsidP="008531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4525" w14:textId="77777777" w:rsidR="0085315F" w:rsidRDefault="0085315F" w:rsidP="00F74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6980">
      <w:rPr>
        <w:rStyle w:val="PageNumber"/>
        <w:noProof/>
      </w:rPr>
      <w:t>2</w:t>
    </w:r>
    <w:r>
      <w:rPr>
        <w:rStyle w:val="PageNumber"/>
      </w:rPr>
      <w:fldChar w:fldCharType="end"/>
    </w:r>
  </w:p>
  <w:p w14:paraId="37886C64" w14:textId="77777777" w:rsidR="0085315F" w:rsidRDefault="0085315F" w:rsidP="008531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498F" w14:textId="77777777" w:rsidR="00AF0E86" w:rsidRDefault="00AF0E86">
      <w:r>
        <w:separator/>
      </w:r>
    </w:p>
  </w:footnote>
  <w:footnote w:type="continuationSeparator" w:id="0">
    <w:p w14:paraId="0C0A2DF1" w14:textId="77777777" w:rsidR="00AF0E86" w:rsidRDefault="00AF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39DF" w14:textId="77777777" w:rsidR="0085315F" w:rsidRPr="0085315F" w:rsidRDefault="0085315F" w:rsidP="0085315F">
    <w:pPr>
      <w:pStyle w:val="Header"/>
      <w:jc w:val="right"/>
      <w:rPr>
        <w:i/>
        <w:sz w:val="16"/>
        <w:szCs w:val="16"/>
      </w:rPr>
    </w:pPr>
    <w:r w:rsidRPr="0085315F">
      <w:rPr>
        <w:i/>
        <w:sz w:val="16"/>
        <w:szCs w:val="16"/>
      </w:rPr>
      <w:t>NWCCU Substantive Change Prospectus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AD4"/>
    <w:multiLevelType w:val="hybridMultilevel"/>
    <w:tmpl w:val="EA3A6AFE"/>
    <w:lvl w:ilvl="0" w:tplc="7602874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960C4"/>
    <w:multiLevelType w:val="hybridMultilevel"/>
    <w:tmpl w:val="FC96C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52A18"/>
    <w:multiLevelType w:val="hybridMultilevel"/>
    <w:tmpl w:val="F30CB09C"/>
    <w:lvl w:ilvl="0" w:tplc="D34E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63900"/>
    <w:multiLevelType w:val="hybridMultilevel"/>
    <w:tmpl w:val="25C2F0F8"/>
    <w:lvl w:ilvl="0" w:tplc="76028746">
      <w:start w:val="1"/>
      <w:numFmt w:val="lowerLetter"/>
      <w:lvlText w:val="%1."/>
      <w:lvlJc w:val="left"/>
      <w:pPr>
        <w:tabs>
          <w:tab w:val="num" w:pos="720"/>
        </w:tabs>
        <w:ind w:left="720" w:hanging="360"/>
      </w:pPr>
      <w:rPr>
        <w:rFonts w:hint="default"/>
      </w:rPr>
    </w:lvl>
    <w:lvl w:ilvl="1" w:tplc="F522C2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7F524E"/>
    <w:multiLevelType w:val="hybridMultilevel"/>
    <w:tmpl w:val="8F845370"/>
    <w:lvl w:ilvl="0" w:tplc="5ABAF4C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B04FF3"/>
    <w:multiLevelType w:val="hybridMultilevel"/>
    <w:tmpl w:val="9C76C776"/>
    <w:lvl w:ilvl="0" w:tplc="2DA20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0375D"/>
    <w:multiLevelType w:val="hybridMultilevel"/>
    <w:tmpl w:val="EA3A6AF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AB"/>
    <w:rsid w:val="00321271"/>
    <w:rsid w:val="003F6CCC"/>
    <w:rsid w:val="0043666B"/>
    <w:rsid w:val="005B06F5"/>
    <w:rsid w:val="006D5CC6"/>
    <w:rsid w:val="008160CA"/>
    <w:rsid w:val="0085315F"/>
    <w:rsid w:val="008A6FAB"/>
    <w:rsid w:val="00A94385"/>
    <w:rsid w:val="00AF0E86"/>
    <w:rsid w:val="00B16980"/>
    <w:rsid w:val="00CC59C4"/>
    <w:rsid w:val="00E672A6"/>
    <w:rsid w:val="00EC20B1"/>
    <w:rsid w:val="00F74864"/>
    <w:rsid w:val="00FD67A1"/>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064CAC6"/>
  <w15:docId w15:val="{A7A7DB8C-C96E-470E-B7CF-233EF27B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2"/>
    </w:rPr>
  </w:style>
  <w:style w:type="paragraph" w:styleId="BodyTextIndent2">
    <w:name w:val="Body Text Indent 2"/>
    <w:basedOn w:val="Normal"/>
    <w:pPr>
      <w:ind w:left="720"/>
    </w:pPr>
    <w:rPr>
      <w:sz w:val="22"/>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85315F"/>
  </w:style>
  <w:style w:type="character" w:styleId="UnresolvedMention">
    <w:name w:val="Unresolved Mention"/>
    <w:basedOn w:val="DefaultParagraphFont"/>
    <w:uiPriority w:val="99"/>
    <w:semiHidden/>
    <w:unhideWhenUsed/>
    <w:rsid w:val="00FD67A1"/>
    <w:rPr>
      <w:color w:val="605E5C"/>
      <w:shd w:val="clear" w:color="auto" w:fill="E1DFDD"/>
    </w:rPr>
  </w:style>
  <w:style w:type="paragraph" w:styleId="ListParagraph">
    <w:name w:val="List Paragraph"/>
    <w:basedOn w:val="Normal"/>
    <w:uiPriority w:val="34"/>
    <w:qFormat/>
    <w:rsid w:val="005B06F5"/>
    <w:pPr>
      <w:ind w:left="720"/>
      <w:contextualSpacing/>
    </w:pPr>
  </w:style>
  <w:style w:type="character" w:styleId="FollowedHyperlink">
    <w:name w:val="FollowedHyperlink"/>
    <w:basedOn w:val="DefaultParagraphFont"/>
    <w:semiHidden/>
    <w:unhideWhenUsed/>
    <w:rsid w:val="00FF3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omicmodeling.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wccu.app.box.com/s/ckxhvwje3xybskbkz3hs9x8yqiw3o91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wccu.app.box.com/s/g4wo5rr04pgsx3ore2ipahgzwxr4unmk" TargetMode="External"/><Relationship Id="rId4" Type="http://schemas.openxmlformats.org/officeDocument/2006/relationships/webSettings" Target="webSettings.xml"/><Relationship Id="rId9" Type="http://schemas.openxmlformats.org/officeDocument/2006/relationships/hyperlink" Target="https://www.bls.gov/oo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Prospectus</vt:lpstr>
    </vt:vector>
  </TitlesOfParts>
  <Company>UAF Provost</Company>
  <LinksUpToDate>false</LinksUpToDate>
  <CharactersWithSpaces>5248</CharactersWithSpaces>
  <SharedDoc>false</SharedDoc>
  <HLinks>
    <vt:vector size="6" baseType="variant">
      <vt:variant>
        <vt:i4>1572900</vt:i4>
      </vt:variant>
      <vt:variant>
        <vt:i4>0</vt:i4>
      </vt:variant>
      <vt:variant>
        <vt:i4>0</vt:i4>
      </vt:variant>
      <vt:variant>
        <vt:i4>5</vt:i4>
      </vt:variant>
      <vt:variant>
        <vt:lpwstr>mailto:FNSKL@uaf.edu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Prospectus</dc:title>
  <dc:creator>fnhmp</dc:creator>
  <cp:lastModifiedBy>Michelle Strickland</cp:lastModifiedBy>
  <cp:revision>3</cp:revision>
  <cp:lastPrinted>2001-09-11T19:33:00Z</cp:lastPrinted>
  <dcterms:created xsi:type="dcterms:W3CDTF">2022-06-08T00:38:00Z</dcterms:created>
  <dcterms:modified xsi:type="dcterms:W3CDTF">2022-08-05T19:01:00Z</dcterms:modified>
</cp:coreProperties>
</file>