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320"/>
              <w:left w:type="dxa" w:w="400"/>
              <w:bottom w:type="dxa" w:w="280"/>
              <w:right w:type="dxa" w:w="400"/>
            </w:tcMar>
          </w:tcPr>
          <w:p>
            <w:pPr>
              <w:spacing w:after="70"/>
            </w:pPr>
            <w:r>
              <w:rPr>
                <w:rFonts w:ascii="Arial" w:cs="Arial" w:eastAsia="Arial" w:hAnsi="Arial"/>
                <w:color w:val="AECBEB"/>
                <w:sz w:val="19"/>
                <w:szCs w:val="19"/>
              </w:rPr>
              <w:t xml:space="preserve">University of Alaska Fairbanks  |  Office of the Provost</w:t>
            </w:r>
          </w:p>
          <w:p>
            <w:pPr>
              <w:spacing w:after="70"/>
            </w:pPr>
            <w:r>
              <w:rPr>
                <w:rFonts w:ascii="Arial" w:cs="Arial" w:eastAsia="Arial" w:hAnsi="Arial"/>
                <w:b/>
                <w:bCs/>
                <w:color w:val="FFFFFF"/>
                <w:sz w:val="44"/>
                <w:szCs w:val="44"/>
              </w:rPr>
              <w:t xml:space="preserve">Sabbatical Leave Application</w:t>
            </w:r>
          </w:p>
          <w:p>
            <w:pPr>
              <w:spacing w:after="110"/>
            </w:pPr>
            <w:r>
              <w:rPr>
                <w:rFonts w:ascii="Arial" w:cs="Arial" w:eastAsia="Arial" w:hAnsi="Arial"/>
                <w:color w:val="F5A800"/>
                <w:sz w:val="26"/>
                <w:szCs w:val="26"/>
              </w:rPr>
              <w:t xml:space="preserve">What to Prepare</w:t>
            </w:r>
          </w:p>
          <w:p>
            <w:pPr>
              <w:pBdr>
                <w:bottom w:val="single" w:color="F5A800" w:sz="4" w:space="1"/>
              </w:pBdr>
              <w:spacing w:after="0" w:before="0"/>
            </w:pPr>
          </w:p>
          <w:p>
            <w:pPr>
              <w:spacing w:after="0" w:before="70"/>
            </w:pPr>
          </w:p>
          <w:p>
            <w:pPr>
              <w:spacing w:after="0"/>
            </w:pPr>
            <w:r>
              <w:rPr>
                <w:rFonts w:ascii="Arial" w:cs="Arial" w:eastAsia="Arial" w:hAnsi="Arial"/>
                <w:color w:val="DDECF8"/>
                <w:sz w:val="20"/>
                <w:szCs w:val="20"/>
              </w:rPr>
              <w:t xml:space="preserve">This document previews the information you will be asked to provide in the Sabbatical Leave Application. Review it before you begin so you can gather what you need. Applications are submitted through the Faculty Portal in AirTable. Current application dates are posted on the Office of the Provost website.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F5A800" w:val="clear"/>
            <w:tcMar>
              <w:top w:type="dxa" w:w="45"/>
              <w:left w:type="dxa" w:w="0"/>
              <w:bottom w:type="dxa" w:w="45"/>
              <w:right w:type="dxa" w:w="0"/>
            </w:tcMar>
          </w:tcPr>
          <w:p/>
        </w:tc>
      </w:tr>
    </w:tbl>
    <w:p>
      <w:pPr>
        <w:spacing w:after="0" w:before="150"/>
      </w:pPr>
    </w:p>
    <w:p>
      <w:pPr>
        <w:spacing w:after="80" w:before="60"/>
        <w:jc w:val="left"/>
      </w:pPr>
      <w:r>
        <w:rPr>
          <w:rFonts w:ascii="Arial" w:cs="Arial" w:eastAsia="Arial" w:hAnsi="Arial"/>
          <w:b w:val="false"/>
          <w:bCs w:val="false"/>
          <w:i w:val="false"/>
          <w:iCs w:val="false"/>
          <w:color w:val="555555"/>
          <w:sz w:val="21"/>
          <w:szCs w:val="21"/>
        </w:rPr>
        <w:t xml:space="preserve">Sabbatical leave is governed by UNAC CBA Article 16.6 and Board of Regents Policy P04.04.060.</w:t>
      </w:r>
    </w:p>
    <w:p>
      <w:pPr>
        <w:spacing w:after="0" w:before="1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Before You Begin</w:t>
            </w:r>
          </w:p>
        </w:tc>
      </w:tr>
    </w:tbl>
    <w:p>
      <w:pPr>
        <w:spacing w:after="0" w:before="70"/>
      </w:pPr>
    </w:p>
    <w:p>
      <w:pPr>
        <w:spacing w:after="80" w:before="60"/>
        <w:jc w:val="left"/>
      </w:pPr>
      <w:r>
        <w:rPr>
          <w:rFonts w:ascii="Arial" w:cs="Arial" w:eastAsia="Arial" w:hAnsi="Arial"/>
          <w:b w:val="false"/>
          <w:bCs w:val="false"/>
          <w:i w:val="false"/>
          <w:iCs w:val="false"/>
          <w:color w:val="000000"/>
          <w:sz w:val="21"/>
          <w:szCs w:val="21"/>
        </w:rPr>
        <w:t xml:space="preserve">Have the following ready:</w:t>
      </w:r>
    </w:p>
    <w:p>
      <w:pPr>
        <w:pStyle w:val="ListParagraph"/>
        <w:numPr>
          <w:ilvl w:val="0"/>
          <w:numId w:val="2"/>
        </w:numPr>
        <w:spacing w:after="30" w:before="30"/>
      </w:pPr>
      <w:r>
        <w:rPr>
          <w:rFonts w:ascii="Arial" w:cs="Arial" w:eastAsia="Arial" w:hAnsi="Arial"/>
          <w:b w:val="false"/>
          <w:bCs w:val="false"/>
          <w:sz w:val="21"/>
          <w:szCs w:val="21"/>
        </w:rPr>
        <w:t xml:space="preserve">Your current CV</w:t>
      </w:r>
    </w:p>
    <w:p>
      <w:pPr>
        <w:pStyle w:val="ListParagraph"/>
        <w:numPr>
          <w:ilvl w:val="0"/>
          <w:numId w:val="2"/>
        </w:numPr>
        <w:spacing w:after="30" w:before="30"/>
      </w:pPr>
      <w:r>
        <w:rPr>
          <w:rFonts w:ascii="Arial" w:cs="Arial" w:eastAsia="Arial" w:hAnsi="Arial"/>
          <w:b w:val="false"/>
          <w:bCs w:val="false"/>
          <w:sz w:val="21"/>
          <w:szCs w:val="21"/>
        </w:rPr>
        <w:t xml:space="preserve">Date of your initial hire in a full-time faculty position, date tenured, and date of your next post-tenure review</w:t>
      </w:r>
    </w:p>
    <w:p>
      <w:pPr>
        <w:pStyle w:val="ListParagraph"/>
        <w:numPr>
          <w:ilvl w:val="0"/>
          <w:numId w:val="2"/>
        </w:numPr>
        <w:spacing w:after="30" w:before="30"/>
      </w:pPr>
      <w:r>
        <w:rPr>
          <w:rFonts w:ascii="Arial" w:cs="Arial" w:eastAsia="Arial" w:hAnsi="Arial"/>
          <w:b w:val="false"/>
          <w:bCs w:val="false"/>
          <w:sz w:val="21"/>
          <w:szCs w:val="21"/>
        </w:rPr>
        <w:t xml:space="preserve">Names and email addresses for your department chair, dean and/or director, and sabbatical unit peer committee chair</w:t>
      </w:r>
    </w:p>
    <w:p>
      <w:pPr>
        <w:pStyle w:val="ListParagraph"/>
        <w:numPr>
          <w:ilvl w:val="0"/>
          <w:numId w:val="2"/>
        </w:numPr>
        <w:spacing w:after="30" w:before="30"/>
      </w:pPr>
      <w:r>
        <w:rPr>
          <w:rFonts w:ascii="Arial" w:cs="Arial" w:eastAsia="Arial" w:hAnsi="Arial"/>
          <w:b w:val="false"/>
          <w:bCs w:val="false"/>
          <w:sz w:val="21"/>
          <w:szCs w:val="21"/>
        </w:rPr>
        <w:t xml:space="preserve">Your written sabbatical plan, addressing the items in Section 4</w:t>
      </w:r>
    </w:p>
    <w:p>
      <w:pPr>
        <w:pStyle w:val="ListParagraph"/>
        <w:numPr>
          <w:ilvl w:val="0"/>
          <w:numId w:val="2"/>
        </w:numPr>
        <w:spacing w:after="30" w:before="30"/>
      </w:pPr>
      <w:r>
        <w:rPr>
          <w:rFonts w:ascii="Arial" w:cs="Arial" w:eastAsia="Arial" w:hAnsi="Arial"/>
          <w:b w:val="false"/>
          <w:bCs w:val="false"/>
          <w:sz w:val="21"/>
          <w:szCs w:val="21"/>
        </w:rPr>
        <w:t xml:space="preserve">A letter of invitation or authorization from any cooperating institution whose facilities your leave depends on</w:t>
      </w:r>
    </w:p>
    <w:p>
      <w:pPr>
        <w:pStyle w:val="ListParagraph"/>
        <w:numPr>
          <w:ilvl w:val="0"/>
          <w:numId w:val="2"/>
        </w:numPr>
        <w:spacing w:after="30" w:before="30"/>
      </w:pPr>
      <w:r>
        <w:rPr>
          <w:rFonts w:ascii="Arial" w:cs="Arial" w:eastAsia="Arial" w:hAnsi="Arial"/>
          <w:b w:val="false"/>
          <w:bCs w:val="false"/>
          <w:sz w:val="21"/>
          <w:szCs w:val="21"/>
        </w:rPr>
        <w:t xml:space="preserve">Details of any outside funding you intend to use during your leave</w:t>
      </w:r>
    </w:p>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Section 1  —  Applicant Information</w:t>
            </w:r>
          </w:p>
        </w:tc>
      </w:tr>
    </w:tbl>
    <w:p>
      <w:pPr>
        <w:spacing w:after="0" w:before="70"/>
      </w:pPr>
    </w:p>
    <w:p>
      <w:pPr>
        <w:pStyle w:val="ListParagraph"/>
        <w:numPr>
          <w:ilvl w:val="0"/>
          <w:numId w:val="2"/>
        </w:numPr>
        <w:spacing w:after="30" w:before="30"/>
      </w:pPr>
      <w:r>
        <w:rPr>
          <w:rFonts w:ascii="Arial" w:cs="Arial" w:eastAsia="Arial" w:hAnsi="Arial"/>
          <w:b w:val="false"/>
          <w:bCs w:val="false"/>
          <w:sz w:val="21"/>
          <w:szCs w:val="21"/>
        </w:rPr>
        <w:t xml:space="preserve">Applicant's last name and first name</w:t>
      </w:r>
    </w:p>
    <w:p>
      <w:pPr>
        <w:pStyle w:val="ListParagraph"/>
        <w:numPr>
          <w:ilvl w:val="0"/>
          <w:numId w:val="2"/>
        </w:numPr>
        <w:spacing w:after="30" w:before="30"/>
      </w:pPr>
      <w:r>
        <w:rPr>
          <w:rFonts w:ascii="Arial" w:cs="Arial" w:eastAsia="Arial" w:hAnsi="Arial"/>
          <w:b w:val="false"/>
          <w:bCs w:val="false"/>
          <w:sz w:val="21"/>
          <w:szCs w:val="21"/>
        </w:rPr>
        <w:t xml:space="preserve">Academic rank</w:t>
      </w:r>
    </w:p>
    <w:p>
      <w:pPr>
        <w:pStyle w:val="ListParagraph"/>
        <w:numPr>
          <w:ilvl w:val="0"/>
          <w:numId w:val="2"/>
        </w:numPr>
        <w:spacing w:after="30" w:before="30"/>
      </w:pPr>
      <w:r>
        <w:rPr>
          <w:rFonts w:ascii="Arial" w:cs="Arial" w:eastAsia="Arial" w:hAnsi="Arial"/>
          <w:b w:val="false"/>
          <w:bCs w:val="false"/>
          <w:sz w:val="21"/>
          <w:szCs w:val="21"/>
        </w:rPr>
        <w:t xml:space="preserve">College or school, and joint appointment institute if applicable</w:t>
      </w:r>
    </w:p>
    <w:p>
      <w:pPr>
        <w:pStyle w:val="ListParagraph"/>
        <w:numPr>
          <w:ilvl w:val="0"/>
          <w:numId w:val="2"/>
        </w:numPr>
        <w:spacing w:after="30" w:before="30"/>
      </w:pPr>
      <w:r>
        <w:rPr>
          <w:rFonts w:ascii="Arial" w:cs="Arial" w:eastAsia="Arial" w:hAnsi="Arial"/>
          <w:b w:val="false"/>
          <w:bCs w:val="false"/>
          <w:sz w:val="21"/>
          <w:szCs w:val="21"/>
        </w:rPr>
        <w:t xml:space="preserve">Department</w:t>
      </w:r>
    </w:p>
    <w:p>
      <w:pPr>
        <w:pStyle w:val="ListParagraph"/>
        <w:numPr>
          <w:ilvl w:val="0"/>
          <w:numId w:val="2"/>
        </w:numPr>
        <w:spacing w:after="30" w:before="30"/>
      </w:pPr>
      <w:r>
        <w:rPr>
          <w:rFonts w:ascii="Arial" w:cs="Arial" w:eastAsia="Arial" w:hAnsi="Arial"/>
          <w:b w:val="false"/>
          <w:bCs w:val="false"/>
          <w:sz w:val="21"/>
          <w:szCs w:val="21"/>
        </w:rPr>
        <w:t xml:space="preserve">Department chair's name and email</w:t>
      </w:r>
    </w:p>
    <w:p>
      <w:pPr>
        <w:pStyle w:val="ListParagraph"/>
        <w:numPr>
          <w:ilvl w:val="0"/>
          <w:numId w:val="2"/>
        </w:numPr>
        <w:spacing w:after="30" w:before="30"/>
      </w:pPr>
      <w:r>
        <w:rPr>
          <w:rFonts w:ascii="Arial" w:cs="Arial" w:eastAsia="Arial" w:hAnsi="Arial"/>
          <w:b w:val="false"/>
          <w:bCs w:val="false"/>
          <w:sz w:val="21"/>
          <w:szCs w:val="21"/>
        </w:rPr>
        <w:t xml:space="preserve">Sabbatical unit peer committee chair's name and email</w:t>
      </w:r>
    </w:p>
    <w:p>
      <w:pPr>
        <w:pStyle w:val="ListParagraph"/>
        <w:numPr>
          <w:ilvl w:val="0"/>
          <w:numId w:val="2"/>
        </w:numPr>
        <w:spacing w:after="30" w:before="30"/>
      </w:pPr>
      <w:r>
        <w:rPr>
          <w:rFonts w:ascii="Arial" w:cs="Arial" w:eastAsia="Arial" w:hAnsi="Arial"/>
          <w:b w:val="false"/>
          <w:bCs w:val="false"/>
          <w:sz w:val="21"/>
          <w:szCs w:val="21"/>
        </w:rPr>
        <w:t xml:space="preserve">Dean's name and email</w:t>
      </w:r>
    </w:p>
    <w:p>
      <w:pPr>
        <w:pStyle w:val="ListParagraph"/>
        <w:numPr>
          <w:ilvl w:val="0"/>
          <w:numId w:val="2"/>
        </w:numPr>
        <w:spacing w:after="30" w:before="30"/>
      </w:pPr>
      <w:r>
        <w:rPr>
          <w:rFonts w:ascii="Arial" w:cs="Arial" w:eastAsia="Arial" w:hAnsi="Arial"/>
          <w:b w:val="false"/>
          <w:bCs w:val="false"/>
          <w:sz w:val="21"/>
          <w:szCs w:val="21"/>
        </w:rPr>
        <w:t xml:space="preserve">Director's name and email, if applicable</w:t>
      </w:r>
    </w:p>
    <w:p>
      <w:pPr>
        <w:pStyle w:val="ListParagraph"/>
        <w:numPr>
          <w:ilvl w:val="0"/>
          <w:numId w:val="2"/>
        </w:numPr>
        <w:spacing w:after="30" w:before="30"/>
      </w:pPr>
      <w:r>
        <w:rPr>
          <w:rFonts w:ascii="Arial" w:cs="Arial" w:eastAsia="Arial" w:hAnsi="Arial"/>
          <w:b w:val="false"/>
          <w:bCs w:val="false"/>
          <w:sz w:val="21"/>
          <w:szCs w:val="21"/>
        </w:rPr>
        <w:t xml:space="preserve">Date of initial hire in a full-time faculty position</w:t>
      </w:r>
    </w:p>
    <w:p>
      <w:pPr>
        <w:pStyle w:val="ListParagraph"/>
        <w:numPr>
          <w:ilvl w:val="0"/>
          <w:numId w:val="2"/>
        </w:numPr>
        <w:spacing w:after="30" w:before="30"/>
      </w:pPr>
      <w:r>
        <w:rPr>
          <w:rFonts w:ascii="Arial" w:cs="Arial" w:eastAsia="Arial" w:hAnsi="Arial"/>
          <w:b w:val="false"/>
          <w:bCs w:val="false"/>
          <w:sz w:val="21"/>
          <w:szCs w:val="21"/>
        </w:rPr>
        <w:t xml:space="preserve">Date tenured</w:t>
      </w:r>
    </w:p>
    <w:p>
      <w:pPr>
        <w:pStyle w:val="ListParagraph"/>
        <w:numPr>
          <w:ilvl w:val="0"/>
          <w:numId w:val="2"/>
        </w:numPr>
        <w:spacing w:after="30" w:before="30"/>
      </w:pPr>
      <w:r>
        <w:rPr>
          <w:rFonts w:ascii="Arial" w:cs="Arial" w:eastAsia="Arial" w:hAnsi="Arial"/>
          <w:b w:val="false"/>
          <w:bCs w:val="false"/>
          <w:sz w:val="21"/>
          <w:szCs w:val="21"/>
        </w:rPr>
        <w:t xml:space="preserve">Date of next post-tenure review</w:t>
      </w:r>
    </w:p>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Section 2  —  Eligibility</w:t>
            </w:r>
          </w:p>
        </w:tc>
      </w:tr>
    </w:tbl>
    <w:p>
      <w:pPr>
        <w:spacing w:after="0" w:before="70"/>
      </w:pPr>
    </w:p>
    <w:p>
      <w:pPr>
        <w:spacing w:after="80" w:before="60"/>
        <w:jc w:val="left"/>
      </w:pPr>
      <w:r>
        <w:rPr>
          <w:rFonts w:ascii="Arial" w:cs="Arial" w:eastAsia="Arial" w:hAnsi="Arial"/>
          <w:b w:val="false"/>
          <w:bCs w:val="false"/>
          <w:i w:val="false"/>
          <w:iCs w:val="false"/>
          <w:color w:val="000000"/>
          <w:sz w:val="21"/>
          <w:szCs w:val="21"/>
        </w:rPr>
        <w:t xml:space="preserve">Under UNAC CBA Article 16.6(a), tenured and tenure-track bargaining unit members who have completed at least five consecutive years of service within the MAU are eligible for consideration to take sabbatical leave during the sixth or subsequent year of service.</w:t>
      </w:r>
    </w:p>
    <w:p>
      <w:pPr>
        <w:pStyle w:val="ListParagraph"/>
        <w:numPr>
          <w:ilvl w:val="0"/>
          <w:numId w:val="2"/>
        </w:numPr>
        <w:spacing w:after="30" w:before="30"/>
      </w:pPr>
      <w:r>
        <w:rPr>
          <w:rFonts w:ascii="Arial" w:cs="Arial" w:eastAsia="Arial" w:hAnsi="Arial"/>
          <w:b/>
          <w:bCs/>
          <w:i w:val="false"/>
          <w:iCs w:val="false"/>
          <w:color w:val="000000"/>
          <w:sz w:val="21"/>
          <w:szCs w:val="21"/>
        </w:rPr>
        <w:t xml:space="preserve">First-time applicants: </w:t>
      </w:r>
      <w:r>
        <w:rPr>
          <w:rFonts w:ascii="Arial" w:cs="Arial" w:eastAsia="Arial" w:hAnsi="Arial"/>
          <w:b w:val="false"/>
          <w:bCs w:val="false"/>
          <w:i w:val="false"/>
          <w:iCs w:val="false"/>
          <w:color w:val="000000"/>
          <w:sz w:val="21"/>
          <w:szCs w:val="21"/>
        </w:rPr>
        <w:t xml:space="preserve">apply during your fifth year of service, for leave taken in your sixth or subsequent year.</w:t>
      </w:r>
    </w:p>
    <w:p>
      <w:pPr>
        <w:pStyle w:val="ListParagraph"/>
        <w:numPr>
          <w:ilvl w:val="0"/>
          <w:numId w:val="2"/>
        </w:numPr>
        <w:spacing w:after="30" w:before="30"/>
      </w:pPr>
      <w:r>
        <w:rPr>
          <w:rFonts w:ascii="Arial" w:cs="Arial" w:eastAsia="Arial" w:hAnsi="Arial"/>
          <w:b/>
          <w:bCs/>
          <w:i w:val="false"/>
          <w:iCs w:val="false"/>
          <w:color w:val="000000"/>
          <w:sz w:val="21"/>
          <w:szCs w:val="21"/>
        </w:rPr>
        <w:t xml:space="preserve">Second or subsequent applicants: </w:t>
      </w:r>
      <w:r>
        <w:rPr>
          <w:rFonts w:ascii="Arial" w:cs="Arial" w:eastAsia="Arial" w:hAnsi="Arial"/>
          <w:b w:val="false"/>
          <w:bCs w:val="false"/>
          <w:i w:val="false"/>
          <w:iCs w:val="false"/>
          <w:color w:val="000000"/>
          <w:sz w:val="21"/>
          <w:szCs w:val="21"/>
        </w:rPr>
        <w:t xml:space="preserve">the five years are counted from the date of your return from your previous sabbatical leave.</w:t>
      </w:r>
    </w:p>
    <w:p>
      <w:pPr>
        <w:spacing w:after="0" w:before="60"/>
      </w:pPr>
    </w:p>
    <w:p>
      <w:pPr>
        <w:spacing w:after="80" w:before="60"/>
        <w:jc w:val="left"/>
      </w:pPr>
      <w:r>
        <w:rPr>
          <w:rFonts w:ascii="Arial" w:cs="Arial" w:eastAsia="Arial" w:hAnsi="Arial"/>
          <w:b w:val="false"/>
          <w:bCs w:val="false"/>
          <w:i w:val="false"/>
          <w:iCs w:val="false"/>
          <w:color w:val="000000"/>
          <w:sz w:val="21"/>
          <w:szCs w:val="21"/>
        </w:rPr>
        <w:t xml:space="preserve">You will be asked:</w:t>
      </w:r>
    </w:p>
    <w:p>
      <w:pPr>
        <w:pStyle w:val="ListParagraph"/>
        <w:numPr>
          <w:ilvl w:val="0"/>
          <w:numId w:val="2"/>
        </w:numPr>
        <w:spacing w:after="30" w:before="30"/>
      </w:pPr>
      <w:r>
        <w:rPr>
          <w:rFonts w:ascii="Arial" w:cs="Arial" w:eastAsia="Arial" w:hAnsi="Arial"/>
          <w:b w:val="false"/>
          <w:bCs w:val="false"/>
          <w:sz w:val="21"/>
          <w:szCs w:val="21"/>
        </w:rPr>
        <w:t xml:space="preserve">Whether this is your first application, or a second or subsequent application</w:t>
      </w:r>
    </w:p>
    <w:p>
      <w:pPr>
        <w:pStyle w:val="ListParagraph"/>
        <w:numPr>
          <w:ilvl w:val="0"/>
          <w:numId w:val="2"/>
        </w:numPr>
        <w:spacing w:after="30" w:before="30"/>
      </w:pPr>
      <w:r>
        <w:rPr>
          <w:rFonts w:ascii="Arial" w:cs="Arial" w:eastAsia="Arial" w:hAnsi="Arial"/>
          <w:b w:val="false"/>
          <w:bCs w:val="false"/>
          <w:sz w:val="21"/>
          <w:szCs w:val="21"/>
        </w:rPr>
        <w:t xml:space="preserve">First-time applicants: the number of consecutive years you have completed in a full-time faculty position at UAF</w:t>
      </w:r>
    </w:p>
    <w:p>
      <w:pPr>
        <w:pStyle w:val="ListParagraph"/>
        <w:numPr>
          <w:ilvl w:val="0"/>
          <w:numId w:val="2"/>
        </w:numPr>
        <w:spacing w:after="30" w:before="30"/>
      </w:pPr>
      <w:r>
        <w:rPr>
          <w:rFonts w:ascii="Arial" w:cs="Arial" w:eastAsia="Arial" w:hAnsi="Arial"/>
          <w:b w:val="false"/>
          <w:bCs w:val="false"/>
          <w:sz w:val="21"/>
          <w:szCs w:val="21"/>
        </w:rPr>
        <w:t xml:space="preserve">Second or subsequent applicants: the number of years since the completion of your last sabbatical</w:t>
      </w:r>
    </w:p>
    <w:p>
      <w:pPr>
        <w:pStyle w:val="ListParagraph"/>
        <w:numPr>
          <w:ilvl w:val="0"/>
          <w:numId w:val="2"/>
        </w:numPr>
        <w:spacing w:after="30" w:before="30"/>
      </w:pPr>
      <w:r>
        <w:rPr>
          <w:rFonts w:ascii="Arial" w:cs="Arial" w:eastAsia="Arial" w:hAnsi="Arial"/>
          <w:b w:val="false"/>
          <w:bCs w:val="false"/>
          <w:sz w:val="21"/>
          <w:szCs w:val="21"/>
        </w:rPr>
        <w:t xml:space="preserve">A list of any leaves longer than three months taken since your date of hire, or since your return from your last sabbatical — including the type of leave, inclusive dates, and funding</w:t>
      </w:r>
    </w:p>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Section 3  —  Sabbatical Type and Dates</w:t>
            </w:r>
          </w:p>
        </w:tc>
      </w:tr>
    </w:tbl>
    <w:p>
      <w:pPr>
        <w:spacing w:after="0" w:before="70"/>
      </w:pPr>
    </w:p>
    <w:p>
      <w:pPr>
        <w:spacing w:after="80" w:before="60"/>
        <w:jc w:val="left"/>
      </w:pPr>
      <w:r>
        <w:rPr>
          <w:rFonts w:ascii="Arial" w:cs="Arial" w:eastAsia="Arial" w:hAnsi="Arial"/>
          <w:b w:val="false"/>
          <w:bCs w:val="false"/>
          <w:i w:val="false"/>
          <w:iCs w:val="false"/>
          <w:color w:val="000000"/>
          <w:sz w:val="21"/>
          <w:szCs w:val="21"/>
        </w:rPr>
        <w:t xml:space="preserve">Select one type:</w:t>
      </w:r>
    </w:p>
    <w:p>
      <w:pPr>
        <w:spacing w:after="0" w:before="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tcBorders>
              <w:top w:val="single" w:color="CCCCCC" w:sz="1"/>
              <w:left w:val="single" w:color="CCCCCC" w:sz="1"/>
              <w:bottom w:val="single" w:color="CCCCCC" w:sz="1"/>
              <w:right w:val="single" w:color="CCCCCC" w:sz="1"/>
            </w:tcBorders>
            <w:shd w:fill="003366" w:val="clear"/>
            <w:tcMar>
              <w:top w:type="dxa" w:w="70"/>
              <w:left w:type="dxa" w:w="110"/>
              <w:bottom w:type="dxa" w:w="70"/>
              <w:right w:type="dxa" w:w="110"/>
            </w:tcMar>
            <w:vAlign w:val="center"/>
          </w:tcPr>
          <w:p>
            <w:r>
              <w:rPr>
                <w:rFonts w:ascii="Arial" w:cs="Arial" w:eastAsia="Arial" w:hAnsi="Arial"/>
                <w:b/>
                <w:bCs/>
                <w:color w:val="FFFFFF"/>
                <w:sz w:val="19"/>
                <w:szCs w:val="19"/>
              </w:rPr>
              <w:t xml:space="preserve">Type</w:t>
            </w:r>
          </w:p>
        </w:tc>
        <w:tc>
          <w:tcPr>
            <w:tcW w:type="dxa" w:w="5960"/>
            <w:tcBorders>
              <w:top w:val="single" w:color="CCCCCC" w:sz="1"/>
              <w:left w:val="single" w:color="CCCCCC" w:sz="1"/>
              <w:bottom w:val="single" w:color="CCCCCC" w:sz="1"/>
              <w:right w:val="single" w:color="CCCCCC" w:sz="1"/>
            </w:tcBorders>
            <w:shd w:fill="003366" w:val="clear"/>
            <w:tcMar>
              <w:top w:type="dxa" w:w="70"/>
              <w:left w:type="dxa" w:w="110"/>
              <w:bottom w:type="dxa" w:w="70"/>
              <w:right w:type="dxa" w:w="110"/>
            </w:tcMar>
            <w:vAlign w:val="center"/>
          </w:tcPr>
          <w:p>
            <w:r>
              <w:rPr>
                <w:rFonts w:ascii="Arial" w:cs="Arial" w:eastAsia="Arial" w:hAnsi="Arial"/>
                <w:b/>
                <w:bCs/>
                <w:color w:val="FFFFFF"/>
                <w:sz w:val="19"/>
                <w:szCs w:val="19"/>
              </w:rPr>
              <w:t xml:space="preserve">Terms</w:t>
            </w:r>
          </w:p>
        </w:tc>
      </w:tr>
      <w:tr>
        <w:tc>
          <w:tcPr>
            <w:tcW w:type="dxa" w:w="340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bCs/>
                <w:sz w:val="19"/>
                <w:szCs w:val="19"/>
              </w:rPr>
              <w:t xml:space="preserve">Academic Year</w:t>
            </w:r>
          </w:p>
        </w:tc>
        <w:tc>
          <w:tcPr>
            <w:tcW w:type="dxa" w:w="596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val="false"/>
                <w:bCs w:val="false"/>
                <w:sz w:val="19"/>
                <w:szCs w:val="19"/>
              </w:rPr>
              <w:t xml:space="preserve">One academic year, August through May, at the rate of six months' salary.</w:t>
            </w:r>
          </w:p>
        </w:tc>
      </w:tr>
      <w:tr>
        <w:tc>
          <w:tcPr>
            <w:tcW w:type="dxa" w:w="3400"/>
            <w:tcBorders>
              <w:top w:val="single" w:color="CCCCCC" w:sz="1"/>
              <w:left w:val="single" w:color="CCCCCC" w:sz="1"/>
              <w:bottom w:val="single" w:color="CCCCCC" w:sz="1"/>
              <w:right w:val="single" w:color="CCCCCC" w:sz="1"/>
            </w:tcBorders>
            <w:shd w:fill="FFFFFF" w:val="clear"/>
            <w:tcMar>
              <w:top w:type="dxa" w:w="70"/>
              <w:left w:type="dxa" w:w="110"/>
              <w:bottom w:type="dxa" w:w="70"/>
              <w:right w:type="dxa" w:w="110"/>
            </w:tcMar>
          </w:tcPr>
          <w:p>
            <w:r>
              <w:rPr>
                <w:rFonts w:ascii="Arial" w:cs="Arial" w:eastAsia="Arial" w:hAnsi="Arial"/>
                <w:b/>
                <w:bCs/>
                <w:sz w:val="19"/>
                <w:szCs w:val="19"/>
              </w:rPr>
              <w:t xml:space="preserve">Academic Year plus Extension</w:t>
            </w:r>
          </w:p>
        </w:tc>
        <w:tc>
          <w:tcPr>
            <w:tcW w:type="dxa" w:w="5960"/>
            <w:tcBorders>
              <w:top w:val="single" w:color="CCCCCC" w:sz="1"/>
              <w:left w:val="single" w:color="CCCCCC" w:sz="1"/>
              <w:bottom w:val="single" w:color="CCCCCC" w:sz="1"/>
              <w:right w:val="single" w:color="CCCCCC" w:sz="1"/>
            </w:tcBorders>
            <w:shd w:fill="FFFFFF" w:val="clear"/>
            <w:tcMar>
              <w:top w:type="dxa" w:w="70"/>
              <w:left w:type="dxa" w:w="110"/>
              <w:bottom w:type="dxa" w:w="70"/>
              <w:right w:type="dxa" w:w="110"/>
            </w:tcMar>
          </w:tcPr>
          <w:p>
            <w:r>
              <w:rPr>
                <w:rFonts w:ascii="Arial" w:cs="Arial" w:eastAsia="Arial" w:hAnsi="Arial"/>
                <w:b w:val="false"/>
                <w:bCs w:val="false"/>
                <w:sz w:val="19"/>
                <w:szCs w:val="19"/>
              </w:rPr>
              <w:t xml:space="preserve">One academic year at the rate of six months' salary, plus an extension of one to three months, ending the day before the following academic year contract begins. No additional compensation is paid for the extension.</w:t>
            </w:r>
          </w:p>
        </w:tc>
      </w:tr>
      <w:tr>
        <w:tc>
          <w:tcPr>
            <w:tcW w:type="dxa" w:w="340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bCs/>
                <w:sz w:val="19"/>
                <w:szCs w:val="19"/>
              </w:rPr>
              <w:t xml:space="preserve">Semester</w:t>
            </w:r>
          </w:p>
        </w:tc>
        <w:tc>
          <w:tcPr>
            <w:tcW w:type="dxa" w:w="596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val="false"/>
                <w:bCs w:val="false"/>
                <w:sz w:val="19"/>
                <w:szCs w:val="19"/>
              </w:rPr>
              <w:t xml:space="preserve">One semester at the full salary rate. Fall runs August through December; spring runs January through May.</w:t>
            </w:r>
          </w:p>
        </w:tc>
      </w:tr>
    </w:tbl>
    <w:p>
      <w:pPr>
        <w:spacing w:after="0" w:before="80"/>
      </w:pPr>
    </w:p>
    <w:p>
      <w:pPr>
        <w:spacing w:after="80" w:before="60"/>
        <w:jc w:val="left"/>
      </w:pPr>
      <w:r>
        <w:rPr>
          <w:rFonts w:ascii="Arial" w:cs="Arial" w:eastAsia="Arial" w:hAnsi="Arial"/>
          <w:b w:val="false"/>
          <w:bCs w:val="false"/>
          <w:i w:val="false"/>
          <w:iCs w:val="false"/>
          <w:color w:val="000000"/>
          <w:sz w:val="21"/>
          <w:szCs w:val="21"/>
        </w:rPr>
        <w:t xml:space="preserve">You will also provide:</w:t>
      </w:r>
    </w:p>
    <w:p>
      <w:pPr>
        <w:pStyle w:val="ListParagraph"/>
        <w:numPr>
          <w:ilvl w:val="0"/>
          <w:numId w:val="2"/>
        </w:numPr>
        <w:spacing w:after="30" w:before="30"/>
      </w:pPr>
      <w:r>
        <w:rPr>
          <w:rFonts w:ascii="Arial" w:cs="Arial" w:eastAsia="Arial" w:hAnsi="Arial"/>
          <w:b w:val="false"/>
          <w:bCs w:val="false"/>
          <w:sz w:val="21"/>
          <w:szCs w:val="21"/>
        </w:rPr>
        <w:t xml:space="preserve">The proposed dates of your sabbatical leave, from and to</w:t>
      </w:r>
    </w:p>
    <w:p>
      <w:pPr>
        <w:pStyle w:val="ListParagraph"/>
        <w:numPr>
          <w:ilvl w:val="0"/>
          <w:numId w:val="2"/>
        </w:numPr>
        <w:spacing w:after="30" w:before="30"/>
      </w:pPr>
      <w:r>
        <w:rPr>
          <w:rFonts w:ascii="Arial" w:cs="Arial" w:eastAsia="Arial" w:hAnsi="Arial"/>
          <w:b w:val="false"/>
          <w:bCs w:val="false"/>
          <w:sz w:val="21"/>
          <w:szCs w:val="21"/>
        </w:rPr>
        <w:t xml:space="preserve">The names of any foreign countries you intend to visit during your leave, with dates — required for Risk Management purposes</w:t>
      </w:r>
    </w:p>
    <w:p>
      <w:pPr>
        <w:pStyle w:val="ListParagraph"/>
        <w:numPr>
          <w:ilvl w:val="0"/>
          <w:numId w:val="2"/>
        </w:numPr>
        <w:spacing w:after="30" w:before="30"/>
      </w:pPr>
      <w:r>
        <w:rPr>
          <w:rFonts w:ascii="Arial" w:cs="Arial" w:eastAsia="Arial" w:hAnsi="Arial"/>
          <w:b w:val="false"/>
          <w:bCs w:val="false"/>
          <w:sz w:val="21"/>
          <w:szCs w:val="21"/>
        </w:rPr>
        <w:t xml:space="preserve">Other non-sabbatical leave funds and income anticipated</w:t>
      </w:r>
    </w:p>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Section 4  —  Sabbatical Plan</w:t>
            </w:r>
          </w:p>
        </w:tc>
      </w:tr>
    </w:tbl>
    <w:p>
      <w:pPr>
        <w:spacing w:after="0" w:before="70"/>
      </w:pPr>
    </w:p>
    <w:p>
      <w:pPr>
        <w:spacing w:after="80" w:before="60"/>
        <w:jc w:val="left"/>
      </w:pPr>
      <w:r>
        <w:rPr>
          <w:rFonts w:ascii="Arial" w:cs="Arial" w:eastAsia="Arial" w:hAnsi="Arial"/>
          <w:b w:val="false"/>
          <w:bCs w:val="false"/>
          <w:i w:val="false"/>
          <w:iCs w:val="false"/>
          <w:color w:val="000000"/>
          <w:sz w:val="21"/>
          <w:szCs w:val="21"/>
        </w:rPr>
        <w:t xml:space="preserve">This is the narrative portion of your application. Prepare it in advance. Your plan should address each of the following:</w:t>
      </w:r>
    </w:p>
    <w:p>
      <w:pPr>
        <w:pStyle w:val="ListParagraph"/>
        <w:numPr>
          <w:ilvl w:val="0"/>
          <w:numId w:val="2"/>
        </w:numPr>
        <w:spacing w:after="30" w:before="30"/>
      </w:pPr>
      <w:r>
        <w:rPr>
          <w:rFonts w:ascii="Arial" w:cs="Arial" w:eastAsia="Arial" w:hAnsi="Arial"/>
          <w:b w:val="false"/>
          <w:bCs w:val="false"/>
          <w:sz w:val="21"/>
          <w:szCs w:val="21"/>
        </w:rPr>
        <w:t xml:space="preserve">The objectives of your proposal</w:t>
      </w:r>
    </w:p>
    <w:p>
      <w:pPr>
        <w:pStyle w:val="ListParagraph"/>
        <w:numPr>
          <w:ilvl w:val="0"/>
          <w:numId w:val="2"/>
        </w:numPr>
        <w:spacing w:after="30" w:before="30"/>
      </w:pPr>
      <w:r>
        <w:rPr>
          <w:rFonts w:ascii="Arial" w:cs="Arial" w:eastAsia="Arial" w:hAnsi="Arial"/>
          <w:b w:val="false"/>
          <w:bCs w:val="false"/>
          <w:sz w:val="21"/>
          <w:szCs w:val="21"/>
        </w:rPr>
        <w:t xml:space="preserve">A summary of your proposed activities, including the locations where those activities will take place</w:t>
      </w:r>
    </w:p>
    <w:p>
      <w:pPr>
        <w:pStyle w:val="ListParagraph"/>
        <w:numPr>
          <w:ilvl w:val="0"/>
          <w:numId w:val="2"/>
        </w:numPr>
        <w:spacing w:after="30" w:before="30"/>
      </w:pPr>
      <w:r>
        <w:rPr>
          <w:rFonts w:ascii="Arial" w:cs="Arial" w:eastAsia="Arial" w:hAnsi="Arial"/>
          <w:b w:val="false"/>
          <w:bCs w:val="false"/>
          <w:sz w:val="21"/>
          <w:szCs w:val="21"/>
        </w:rPr>
        <w:t xml:space="preserve">The anticipated time of completion of your project</w:t>
      </w:r>
    </w:p>
    <w:p>
      <w:pPr>
        <w:pStyle w:val="ListParagraph"/>
        <w:numPr>
          <w:ilvl w:val="0"/>
          <w:numId w:val="2"/>
        </w:numPr>
        <w:spacing w:after="30" w:before="30"/>
      </w:pPr>
      <w:r>
        <w:rPr>
          <w:rFonts w:ascii="Arial" w:cs="Arial" w:eastAsia="Arial" w:hAnsi="Arial"/>
          <w:b w:val="false"/>
          <w:bCs w:val="false"/>
          <w:sz w:val="21"/>
          <w:szCs w:val="21"/>
        </w:rPr>
        <w:t xml:space="preserve">The anticipated benefits of the leave to your own goals and to those of UAF</w:t>
      </w:r>
    </w:p>
    <w:p>
      <w:pPr>
        <w:pStyle w:val="ListParagraph"/>
        <w:numPr>
          <w:ilvl w:val="0"/>
          <w:numId w:val="2"/>
        </w:numPr>
        <w:spacing w:after="30" w:before="30"/>
      </w:pPr>
      <w:r>
        <w:rPr>
          <w:rFonts w:ascii="Arial" w:cs="Arial" w:eastAsia="Arial" w:hAnsi="Arial"/>
          <w:b w:val="false"/>
          <w:bCs w:val="false"/>
          <w:sz w:val="21"/>
          <w:szCs w:val="21"/>
        </w:rPr>
        <w:t xml:space="preserve">Your efforts to secure outside funding, naming the sources, where that funding is relevant to this application. Indicate clearly if your leave depends on the award of outside funding</w:t>
      </w:r>
    </w:p>
    <w:p>
      <w:pPr>
        <w:pStyle w:val="ListParagraph"/>
        <w:numPr>
          <w:ilvl w:val="0"/>
          <w:numId w:val="2"/>
        </w:numPr>
        <w:spacing w:after="30" w:before="30"/>
      </w:pPr>
      <w:r>
        <w:rPr>
          <w:rFonts w:ascii="Arial" w:cs="Arial" w:eastAsia="Arial" w:hAnsi="Arial"/>
          <w:b w:val="false"/>
          <w:bCs w:val="false"/>
          <w:sz w:val="21"/>
          <w:szCs w:val="21"/>
        </w:rPr>
        <w:t xml:space="preserve">Whether your leave depends on the use of facilities at another institution. If so, attach a copy of the letter of invitation or authorization</w:t>
      </w:r>
    </w:p>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Section 5  —  Sabbatical Leave Funding Form</w:t>
            </w:r>
          </w:p>
        </w:tc>
      </w:tr>
    </w:tbl>
    <w:p>
      <w:pPr>
        <w:spacing w:after="0" w:before="70"/>
      </w:pPr>
    </w:p>
    <w:p>
      <w:pPr>
        <w:spacing w:after="80" w:before="60"/>
        <w:jc w:val="left"/>
      </w:pPr>
      <w:r>
        <w:rPr>
          <w:rFonts w:ascii="Arial" w:cs="Arial" w:eastAsia="Arial" w:hAnsi="Arial"/>
          <w:b w:val="false"/>
          <w:bCs w:val="false"/>
          <w:i w:val="false"/>
          <w:iCs w:val="false"/>
          <w:color w:val="000000"/>
          <w:sz w:val="21"/>
          <w:szCs w:val="21"/>
        </w:rPr>
        <w:t xml:space="preserve">Complete this section if you intend to use fellowships, grants-in-aid, or earned income during your sabbatical leave. The funding form is now completed within the application itself rather than as a separate document.</w:t>
      </w:r>
    </w:p>
    <w:p>
      <w:pPr>
        <w:spacing w:after="0" w:before="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5A800" w:sz="6"/>
              <w:left w:val="single" w:color="F5A800" w:sz="6"/>
              <w:bottom w:val="single" w:color="F5A800" w:sz="6"/>
              <w:right w:val="single" w:color="F5A800" w:sz="6"/>
            </w:tcBorders>
            <w:shd w:fill="FFF8E7" w:val="clear"/>
            <w:tcMar>
              <w:top w:type="dxa" w:w="130"/>
              <w:left w:type="dxa" w:w="200"/>
              <w:bottom w:type="dxa" w:w="110"/>
              <w:right w:type="dxa" w:w="200"/>
            </w:tcMar>
          </w:tcPr>
          <w:p>
            <w:pPr>
              <w:spacing w:after="60" w:before="0"/>
            </w:pPr>
            <w:r>
              <w:rPr>
                <w:rFonts w:ascii="Arial" w:cs="Arial" w:eastAsia="Arial" w:hAnsi="Arial"/>
                <w:b/>
                <w:bCs/>
                <w:color w:val="003366"/>
                <w:sz w:val="20"/>
                <w:szCs w:val="20"/>
              </w:rPr>
              <w:t xml:space="preserve">Important</w:t>
            </w:r>
          </w:p>
          <w:p>
            <w:pPr>
              <w:pStyle w:val="ListParagraph"/>
              <w:numPr>
                <w:ilvl w:val="0"/>
                <w:numId w:val="3"/>
              </w:numPr>
              <w:spacing w:after="40" w:before="0"/>
            </w:pPr>
            <w:r>
              <w:rPr>
                <w:rFonts w:ascii="Arial" w:cs="Arial" w:eastAsia="Arial" w:hAnsi="Arial"/>
                <w:sz w:val="20"/>
                <w:szCs w:val="20"/>
              </w:rPr>
              <w:t xml:space="preserve">All outside funds must be listed on the funding form and approved in advance of your leave. Funds that are not listed and approved cannot be applied to your sabbatical costs or salary.</w:t>
            </w:r>
          </w:p>
          <w:p>
            <w:pPr>
              <w:pStyle w:val="ListParagraph"/>
              <w:numPr>
                <w:ilvl w:val="0"/>
                <w:numId w:val="3"/>
              </w:numPr>
              <w:spacing w:after="40" w:before="0"/>
            </w:pPr>
            <w:r>
              <w:rPr>
                <w:rFonts w:ascii="Arial" w:cs="Arial" w:eastAsia="Arial" w:hAnsi="Arial"/>
                <w:sz w:val="20"/>
                <w:szCs w:val="20"/>
              </w:rPr>
              <w:t xml:space="preserve">Under CBA Article 16.6(b), outside funding requires prior approval, and your total compensation may not exceed your normal base academic year salary.</w:t>
            </w:r>
          </w:p>
          <w:p>
            <w:pPr>
              <w:pStyle w:val="ListParagraph"/>
              <w:numPr>
                <w:ilvl w:val="0"/>
                <w:numId w:val="3"/>
              </w:numPr>
              <w:spacing w:after="40" w:before="0"/>
            </w:pPr>
            <w:r>
              <w:rPr>
                <w:rFonts w:ascii="Arial" w:cs="Arial" w:eastAsia="Arial" w:hAnsi="Arial"/>
                <w:sz w:val="20"/>
                <w:szCs w:val="20"/>
              </w:rPr>
              <w:t xml:space="preserve">Where an application includes a funding form, it is routed to your Grants/Contracts Representative and your PPA/Executive Officer for review and signature.</w:t>
            </w:r>
          </w:p>
          <w:p>
            <w:pPr>
              <w:pStyle w:val="ListParagraph"/>
              <w:numPr>
                <w:ilvl w:val="0"/>
                <w:numId w:val="3"/>
              </w:numPr>
              <w:spacing w:after="40" w:before="0"/>
            </w:pPr>
            <w:r>
              <w:rPr>
                <w:rFonts w:ascii="Arial" w:cs="Arial" w:eastAsia="Arial" w:hAnsi="Arial"/>
                <w:sz w:val="20"/>
                <w:szCs w:val="20"/>
              </w:rPr>
              <w:t xml:space="preserve">If you are approved to use outside funds, document the details of your intended fund distribution with your fiscal or grants office before you depart.</w:t>
            </w:r>
          </w:p>
        </w:tc>
      </w:tr>
    </w:tbl>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Attachments</w:t>
            </w:r>
          </w:p>
        </w:tc>
      </w:tr>
    </w:tbl>
    <w:p>
      <w:pPr>
        <w:spacing w:after="0" w:before="70"/>
      </w:pPr>
    </w:p>
    <w:p>
      <w:pPr>
        <w:pStyle w:val="ListParagraph"/>
        <w:numPr>
          <w:ilvl w:val="0"/>
          <w:numId w:val="2"/>
        </w:numPr>
        <w:spacing w:after="30" w:before="30"/>
      </w:pPr>
      <w:r>
        <w:rPr>
          <w:rFonts w:ascii="Arial" w:cs="Arial" w:eastAsia="Arial" w:hAnsi="Arial"/>
          <w:b w:val="false"/>
          <w:bCs w:val="false"/>
          <w:sz w:val="21"/>
          <w:szCs w:val="21"/>
        </w:rPr>
        <w:t xml:space="preserve">Your current CV</w:t>
      </w:r>
    </w:p>
    <w:p>
      <w:pPr>
        <w:pStyle w:val="ListParagraph"/>
        <w:numPr>
          <w:ilvl w:val="0"/>
          <w:numId w:val="2"/>
        </w:numPr>
        <w:spacing w:after="30" w:before="30"/>
      </w:pPr>
      <w:r>
        <w:rPr>
          <w:rFonts w:ascii="Arial" w:cs="Arial" w:eastAsia="Arial" w:hAnsi="Arial"/>
          <w:b w:val="false"/>
          <w:bCs w:val="false"/>
          <w:sz w:val="21"/>
          <w:szCs w:val="21"/>
        </w:rPr>
        <w:t xml:space="preserve">Documentation indicating arrangements with cooperating institutions, individuals, or agencies — or a statement explaining your plan to secure those arrangements, or why they are not necessary</w:t>
      </w:r>
    </w:p>
    <w:p>
      <w:pPr>
        <w:pStyle w:val="ListParagraph"/>
        <w:numPr>
          <w:ilvl w:val="0"/>
          <w:numId w:val="2"/>
        </w:numPr>
        <w:spacing w:after="30" w:before="30"/>
      </w:pPr>
      <w:r>
        <w:rPr>
          <w:rFonts w:ascii="Arial" w:cs="Arial" w:eastAsia="Arial" w:hAnsi="Arial"/>
          <w:b w:val="false"/>
          <w:bCs w:val="false"/>
          <w:sz w:val="21"/>
          <w:szCs w:val="21"/>
        </w:rPr>
        <w:t xml:space="preserve">A letter of invitation or authorization, if your leave depends on the facilities of another institution</w:t>
      </w:r>
    </w:p>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After You Submit</w:t>
            </w:r>
          </w:p>
        </w:tc>
      </w:tr>
    </w:tbl>
    <w:p>
      <w:pPr>
        <w:spacing w:after="0" w:before="70"/>
      </w:pPr>
    </w:p>
    <w:p>
      <w:pPr>
        <w:spacing w:after="80" w:before="60"/>
        <w:jc w:val="left"/>
      </w:pPr>
      <w:r>
        <w:rPr>
          <w:rFonts w:ascii="Arial" w:cs="Arial" w:eastAsia="Arial" w:hAnsi="Arial"/>
          <w:b w:val="false"/>
          <w:bCs w:val="false"/>
          <w:i w:val="false"/>
          <w:iCs w:val="false"/>
          <w:color w:val="000000"/>
          <w:sz w:val="21"/>
          <w:szCs w:val="21"/>
        </w:rPr>
        <w:t xml:space="preserve">Your application moves through the following steps. The dates for the current application cycle, and the complete timeline by assigned role, are posted on the Office of the Provost website.</w:t>
      </w:r>
    </w:p>
    <w:p>
      <w:pPr>
        <w:spacing w:after="0" w:before="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rPr>
          <w:tblHeader/>
        </w:trPr>
        <w:tc>
          <w:tcPr>
            <w:tcW w:type="dxa" w:w="2000"/>
            <w:tcBorders>
              <w:top w:val="single" w:color="CCCCCC" w:sz="1"/>
              <w:left w:val="single" w:color="CCCCCC" w:sz="1"/>
              <w:bottom w:val="single" w:color="CCCCCC" w:sz="1"/>
              <w:right w:val="single" w:color="CCCCCC" w:sz="1"/>
            </w:tcBorders>
            <w:shd w:fill="003366" w:val="clear"/>
            <w:tcMar>
              <w:top w:type="dxa" w:w="70"/>
              <w:left w:type="dxa" w:w="110"/>
              <w:bottom w:type="dxa" w:w="70"/>
              <w:right w:type="dxa" w:w="110"/>
            </w:tcMar>
            <w:vAlign w:val="center"/>
          </w:tcPr>
          <w:p>
            <w:r>
              <w:rPr>
                <w:rFonts w:ascii="Arial" w:cs="Arial" w:eastAsia="Arial" w:hAnsi="Arial"/>
                <w:b/>
                <w:bCs/>
                <w:color w:val="FFFFFF"/>
                <w:sz w:val="19"/>
                <w:szCs w:val="19"/>
              </w:rPr>
              <w:t xml:space="preserve">Who</w:t>
            </w:r>
          </w:p>
        </w:tc>
        <w:tc>
          <w:tcPr>
            <w:tcW w:type="dxa" w:w="7360"/>
            <w:tcBorders>
              <w:top w:val="single" w:color="CCCCCC" w:sz="1"/>
              <w:left w:val="single" w:color="CCCCCC" w:sz="1"/>
              <w:bottom w:val="single" w:color="CCCCCC" w:sz="1"/>
              <w:right w:val="single" w:color="CCCCCC" w:sz="1"/>
            </w:tcBorders>
            <w:shd w:fill="003366" w:val="clear"/>
            <w:tcMar>
              <w:top w:type="dxa" w:w="70"/>
              <w:left w:type="dxa" w:w="110"/>
              <w:bottom w:type="dxa" w:w="70"/>
              <w:right w:type="dxa" w:w="110"/>
            </w:tcMar>
            <w:vAlign w:val="center"/>
          </w:tcPr>
          <w:p>
            <w:r>
              <w:rPr>
                <w:rFonts w:ascii="Arial" w:cs="Arial" w:eastAsia="Arial" w:hAnsi="Arial"/>
                <w:b/>
                <w:bCs/>
                <w:color w:val="FFFFFF"/>
                <w:sz w:val="19"/>
                <w:szCs w:val="19"/>
              </w:rPr>
              <w:t xml:space="preserve">What happens</w:t>
            </w:r>
          </w:p>
        </w:tc>
      </w:tr>
      <w:tr>
        <w:tc>
          <w:tcPr>
            <w:tcW w:type="dxa" w:w="200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bCs/>
                <w:sz w:val="19"/>
                <w:szCs w:val="19"/>
              </w:rPr>
              <w:t xml:space="preserve">You</w:t>
            </w:r>
          </w:p>
        </w:tc>
        <w:tc>
          <w:tcPr>
            <w:tcW w:type="dxa" w:w="736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val="false"/>
                <w:bCs w:val="false"/>
                <w:sz w:val="19"/>
                <w:szCs w:val="19"/>
              </w:rPr>
              <w:t xml:space="preserve">Submit your application through the Faculty Portal in AirTable by the published deadline</w:t>
            </w:r>
          </w:p>
        </w:tc>
      </w:tr>
      <w:tr>
        <w:tc>
          <w:tcPr>
            <w:tcW w:type="dxa" w:w="2000"/>
            <w:tcBorders>
              <w:top w:val="single" w:color="CCCCCC" w:sz="1"/>
              <w:left w:val="single" w:color="CCCCCC" w:sz="1"/>
              <w:bottom w:val="single" w:color="CCCCCC" w:sz="1"/>
              <w:right w:val="single" w:color="CCCCCC" w:sz="1"/>
            </w:tcBorders>
            <w:shd w:fill="FFFFFF" w:val="clear"/>
            <w:tcMar>
              <w:top w:type="dxa" w:w="70"/>
              <w:left w:type="dxa" w:w="110"/>
              <w:bottom w:type="dxa" w:w="70"/>
              <w:right w:type="dxa" w:w="110"/>
            </w:tcMar>
          </w:tcPr>
          <w:p>
            <w:r>
              <w:rPr>
                <w:rFonts w:ascii="Arial" w:cs="Arial" w:eastAsia="Arial" w:hAnsi="Arial"/>
                <w:b/>
                <w:bCs/>
                <w:sz w:val="19"/>
                <w:szCs w:val="19"/>
              </w:rPr>
              <w:t xml:space="preserve">Office of the Provost</w:t>
            </w:r>
          </w:p>
        </w:tc>
        <w:tc>
          <w:tcPr>
            <w:tcW w:type="dxa" w:w="7360"/>
            <w:tcBorders>
              <w:top w:val="single" w:color="CCCCCC" w:sz="1"/>
              <w:left w:val="single" w:color="CCCCCC" w:sz="1"/>
              <w:bottom w:val="single" w:color="CCCCCC" w:sz="1"/>
              <w:right w:val="single" w:color="CCCCCC" w:sz="1"/>
            </w:tcBorders>
            <w:shd w:fill="FFFFFF" w:val="clear"/>
            <w:tcMar>
              <w:top w:type="dxa" w:w="70"/>
              <w:left w:type="dxa" w:w="110"/>
              <w:bottom w:type="dxa" w:w="70"/>
              <w:right w:type="dxa" w:w="110"/>
            </w:tcMar>
          </w:tcPr>
          <w:p>
            <w:r>
              <w:rPr>
                <w:rFonts w:ascii="Arial" w:cs="Arial" w:eastAsia="Arial" w:hAnsi="Arial"/>
                <w:b w:val="false"/>
                <w:bCs w:val="false"/>
                <w:sz w:val="19"/>
                <w:szCs w:val="19"/>
              </w:rPr>
              <w:t xml:space="preserve">Reviews your application and confirms receipt via AirTable</w:t>
            </w:r>
          </w:p>
        </w:tc>
      </w:tr>
      <w:tr>
        <w:tc>
          <w:tcPr>
            <w:tcW w:type="dxa" w:w="200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bCs/>
                <w:sz w:val="19"/>
                <w:szCs w:val="19"/>
              </w:rPr>
              <w:t xml:space="preserve">You</w:t>
            </w:r>
          </w:p>
        </w:tc>
        <w:tc>
          <w:tcPr>
            <w:tcW w:type="dxa" w:w="736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val="false"/>
                <w:bCs w:val="false"/>
                <w:sz w:val="19"/>
                <w:szCs w:val="19"/>
              </w:rPr>
              <w:t xml:space="preserve">Receive confirmation of your completed application and acknowledge by approval via AirTable</w:t>
            </w:r>
          </w:p>
        </w:tc>
      </w:tr>
      <w:tr>
        <w:tc>
          <w:tcPr>
            <w:tcW w:type="dxa" w:w="2000"/>
            <w:tcBorders>
              <w:top w:val="single" w:color="CCCCCC" w:sz="1"/>
              <w:left w:val="single" w:color="CCCCCC" w:sz="1"/>
              <w:bottom w:val="single" w:color="CCCCCC" w:sz="1"/>
              <w:right w:val="single" w:color="CCCCCC" w:sz="1"/>
            </w:tcBorders>
            <w:shd w:fill="FFFFFF" w:val="clear"/>
            <w:tcMar>
              <w:top w:type="dxa" w:w="70"/>
              <w:left w:type="dxa" w:w="110"/>
              <w:bottom w:type="dxa" w:w="70"/>
              <w:right w:type="dxa" w:w="110"/>
            </w:tcMar>
          </w:tcPr>
          <w:p>
            <w:r>
              <w:rPr>
                <w:rFonts w:ascii="Arial" w:cs="Arial" w:eastAsia="Arial" w:hAnsi="Arial"/>
                <w:b/>
                <w:bCs/>
                <w:sz w:val="19"/>
                <w:szCs w:val="19"/>
              </w:rPr>
              <w:t xml:space="preserve">Grants/Contracts and PPA/Executive Officer</w:t>
            </w:r>
          </w:p>
        </w:tc>
        <w:tc>
          <w:tcPr>
            <w:tcW w:type="dxa" w:w="7360"/>
            <w:tcBorders>
              <w:top w:val="single" w:color="CCCCCC" w:sz="1"/>
              <w:left w:val="single" w:color="CCCCCC" w:sz="1"/>
              <w:bottom w:val="single" w:color="CCCCCC" w:sz="1"/>
              <w:right w:val="single" w:color="CCCCCC" w:sz="1"/>
            </w:tcBorders>
            <w:shd w:fill="FFFFFF" w:val="clear"/>
            <w:tcMar>
              <w:top w:type="dxa" w:w="70"/>
              <w:left w:type="dxa" w:w="110"/>
              <w:bottom w:type="dxa" w:w="70"/>
              <w:right w:type="dxa" w:w="110"/>
            </w:tcMar>
          </w:tcPr>
          <w:p>
            <w:r>
              <w:rPr>
                <w:rFonts w:ascii="Arial" w:cs="Arial" w:eastAsia="Arial" w:hAnsi="Arial"/>
                <w:b w:val="false"/>
                <w:bCs w:val="false"/>
                <w:sz w:val="19"/>
                <w:szCs w:val="19"/>
              </w:rPr>
              <w:t xml:space="preserve">If your application includes a funding form, review and sign it</w:t>
            </w:r>
          </w:p>
        </w:tc>
      </w:tr>
      <w:tr>
        <w:tc>
          <w:tcPr>
            <w:tcW w:type="dxa" w:w="200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bCs/>
                <w:sz w:val="19"/>
                <w:szCs w:val="19"/>
              </w:rPr>
              <w:t xml:space="preserve">Department or program chair</w:t>
            </w:r>
          </w:p>
        </w:tc>
        <w:tc>
          <w:tcPr>
            <w:tcW w:type="dxa" w:w="7360"/>
            <w:tcBorders>
              <w:top w:val="single" w:color="CCCCCC" w:sz="1"/>
              <w:left w:val="single" w:color="CCCCCC" w:sz="1"/>
              <w:bottom w:val="single" w:color="CCCCCC" w:sz="1"/>
              <w:right w:val="single" w:color="CCCCCC" w:sz="1"/>
            </w:tcBorders>
            <w:shd w:fill="EAF2FB" w:val="clear"/>
            <w:tcMar>
              <w:top w:type="dxa" w:w="70"/>
              <w:left w:type="dxa" w:w="110"/>
              <w:bottom w:type="dxa" w:w="70"/>
              <w:right w:type="dxa" w:w="110"/>
            </w:tcMar>
          </w:tcPr>
          <w:p>
            <w:r>
              <w:rPr>
                <w:rFonts w:ascii="Arial" w:cs="Arial" w:eastAsia="Arial" w:hAnsi="Arial"/>
                <w:b w:val="false"/>
                <w:bCs w:val="false"/>
                <w:sz w:val="19"/>
                <w:szCs w:val="19"/>
              </w:rPr>
              <w:t xml:space="preserve">Informs the deans and directors of those applying for sabbatical leave</w:t>
            </w:r>
          </w:p>
        </w:tc>
      </w:tr>
    </w:tbl>
    <w:p>
      <w:pPr>
        <w:spacing w:after="0" w:before="70"/>
      </w:pPr>
    </w:p>
    <w:p>
      <w:pPr>
        <w:spacing w:after="80" w:before="60"/>
        <w:jc w:val="left"/>
      </w:pPr>
      <w:r>
        <w:rPr>
          <w:rFonts w:ascii="Arial" w:cs="Arial" w:eastAsia="Arial" w:hAnsi="Arial"/>
          <w:b w:val="false"/>
          <w:bCs w:val="false"/>
          <w:i/>
          <w:iCs/>
          <w:color w:val="555555"/>
          <w:sz w:val="21"/>
          <w:szCs w:val="21"/>
        </w:rPr>
        <w:t xml:space="preserve">If a published deadline falls on a weekend, it moves to the following Monday.</w:t>
      </w:r>
    </w:p>
    <w:p>
      <w:pPr>
        <w:spacing w:after="0" w:before="15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03366" w:val="clear"/>
            <w:tcMar>
              <w:top w:type="dxa" w:w="110"/>
              <w:left w:type="dxa" w:w="200"/>
              <w:bottom w:type="dxa" w:w="110"/>
              <w:right w:type="dxa" w:w="200"/>
            </w:tcMar>
          </w:tcPr>
          <w:p>
            <w:pPr>
              <w:spacing w:after="0" w:before="0"/>
            </w:pPr>
            <w:r>
              <w:rPr>
                <w:rFonts w:ascii="Arial" w:cs="Arial" w:eastAsia="Arial" w:hAnsi="Arial"/>
                <w:b/>
                <w:bCs/>
                <w:color w:val="FFFFFF"/>
                <w:sz w:val="24"/>
                <w:szCs w:val="24"/>
              </w:rPr>
              <w:t xml:space="preserve">Important Notes</w:t>
            </w:r>
          </w:p>
        </w:tc>
      </w:tr>
    </w:tbl>
    <w:p>
      <w:pPr>
        <w:spacing w:after="0" w:before="70"/>
      </w:pPr>
    </w:p>
    <w:p>
      <w:pPr>
        <w:pStyle w:val="ListParagraph"/>
        <w:numPr>
          <w:ilvl w:val="0"/>
          <w:numId w:val="2"/>
        </w:numPr>
        <w:spacing w:after="30" w:before="30"/>
      </w:pPr>
      <w:r>
        <w:rPr>
          <w:rFonts w:ascii="Arial" w:cs="Arial" w:eastAsia="Arial" w:hAnsi="Arial"/>
          <w:b w:val="false"/>
          <w:bCs w:val="false"/>
          <w:sz w:val="21"/>
          <w:szCs w:val="21"/>
        </w:rPr>
        <w:t xml:space="preserve">Your application is not complete until all required attachments have been submitted and your dean or director has reviewed and approved it.</w:t>
      </w:r>
    </w:p>
    <w:p>
      <w:pPr>
        <w:pStyle w:val="ListParagraph"/>
        <w:numPr>
          <w:ilvl w:val="0"/>
          <w:numId w:val="2"/>
        </w:numPr>
        <w:spacing w:after="30" w:before="30"/>
      </w:pPr>
      <w:r>
        <w:rPr>
          <w:rFonts w:ascii="Arial" w:cs="Arial" w:eastAsia="Arial" w:hAnsi="Arial"/>
          <w:b w:val="false"/>
          <w:bCs w:val="false"/>
          <w:sz w:val="21"/>
          <w:szCs w:val="21"/>
        </w:rPr>
        <w:t xml:space="preserve">If the dates, funding, activities, or locations associated with your approved sabbatical leave change, you must submit a written change of sabbatical leave plan memo to your dean and/or director and the Provost for approval.</w:t>
      </w:r>
    </w:p>
    <w:p>
      <w:pPr>
        <w:pStyle w:val="ListParagraph"/>
        <w:numPr>
          <w:ilvl w:val="0"/>
          <w:numId w:val="2"/>
        </w:numPr>
        <w:spacing w:after="30" w:before="30"/>
      </w:pPr>
      <w:r>
        <w:rPr>
          <w:rFonts w:ascii="Arial" w:cs="Arial" w:eastAsia="Arial" w:hAnsi="Arial"/>
          <w:b w:val="false"/>
          <w:bCs w:val="false"/>
          <w:sz w:val="21"/>
          <w:szCs w:val="21"/>
        </w:rPr>
        <w:t xml:space="preserve">A written sabbatical leave report is required within three months of your return from leave, and a copy must be included in the materials you submit in your first evaluation cycle after returning (CBA Article 16.6(e)).</w:t>
      </w:r>
    </w:p>
    <w:p>
      <w:pPr>
        <w:pStyle w:val="ListParagraph"/>
        <w:numPr>
          <w:ilvl w:val="0"/>
          <w:numId w:val="2"/>
        </w:numPr>
        <w:spacing w:after="30" w:before="30"/>
      </w:pPr>
      <w:r>
        <w:rPr>
          <w:rFonts w:ascii="Arial" w:cs="Arial" w:eastAsia="Arial" w:hAnsi="Arial"/>
          <w:b w:val="false"/>
          <w:bCs w:val="false"/>
          <w:sz w:val="21"/>
          <w:szCs w:val="21"/>
        </w:rPr>
        <w:t xml:space="preserve">A bargaining unit member on a terminal appointment loses any right to sabbatical leave.</w:t>
      </w:r>
    </w:p>
    <w:p>
      <w:pPr>
        <w:spacing w:after="0" w:before="170"/>
      </w:pPr>
    </w:p>
    <w:p>
      <w:pPr>
        <w:pBdr>
          <w:bottom w:val="single" w:color="F5A800" w:sz="4" w:space="1"/>
        </w:pBdr>
        <w:spacing w:after="0" w:before="0"/>
      </w:pPr>
    </w:p>
    <w:p>
      <w:pPr>
        <w:spacing w:after="0" w:before="70"/>
      </w:pPr>
    </w:p>
    <w:p>
      <w:pPr>
        <w:spacing w:after="80" w:before="60"/>
        <w:jc w:val="left"/>
      </w:pPr>
      <w:r>
        <w:rPr>
          <w:rFonts w:ascii="Arial" w:cs="Arial" w:eastAsia="Arial" w:hAnsi="Arial"/>
          <w:b/>
          <w:bCs/>
          <w:i w:val="false"/>
          <w:iCs w:val="false"/>
          <w:color w:val="003366"/>
          <w:sz w:val="21"/>
          <w:szCs w:val="21"/>
        </w:rPr>
        <w:t xml:space="preserve">Questions</w:t>
      </w:r>
    </w:p>
    <w:p>
      <w:pPr>
        <w:spacing w:after="80" w:before="60"/>
        <w:jc w:val="left"/>
      </w:pPr>
      <w:r>
        <w:rPr>
          <w:rFonts w:ascii="Arial" w:cs="Arial" w:eastAsia="Arial" w:hAnsi="Arial"/>
          <w:b w:val="false"/>
          <w:bCs w:val="false"/>
          <w:i w:val="false"/>
          <w:iCs w:val="false"/>
          <w:color w:val="000000"/>
          <w:sz w:val="21"/>
          <w:szCs w:val="21"/>
        </w:rPr>
        <w:t xml:space="preserve">Office of the Provost  —  Faculty Affairs and Services</w:t>
      </w:r>
    </w:p>
    <w:p>
      <w:pPr>
        <w:spacing w:after="80" w:before="60"/>
        <w:jc w:val="left"/>
      </w:pPr>
      <w:r>
        <w:rPr>
          <w:rFonts w:ascii="Arial" w:cs="Arial" w:eastAsia="Arial" w:hAnsi="Arial"/>
          <w:b w:val="false"/>
          <w:bCs w:val="false"/>
          <w:i w:val="false"/>
          <w:iCs w:val="false"/>
          <w:color w:val="000000"/>
          <w:sz w:val="21"/>
          <w:szCs w:val="21"/>
        </w:rPr>
        <w:t xml:space="preserve">Jen Hoppough  |  907-474-7096  |  uaf-provost-awards@alaska.edu</w:t>
      </w:r>
    </w:p>
    <w:p>
      <w:pPr>
        <w:spacing w:after="0" w:before="60"/>
      </w:pPr>
    </w:p>
    <w:p>
      <w:pPr>
        <w:pBdr>
          <w:bottom w:val="single" w:color="CCCCCC" w:sz="2" w:space="1"/>
        </w:pBdr>
        <w:spacing w:after="0" w:before="0"/>
      </w:pPr>
    </w:p>
    <w:p>
      <w:pPr>
        <w:spacing w:before="70"/>
        <w:jc w:val="center"/>
      </w:pPr>
      <w:r>
        <w:rPr>
          <w:rFonts w:ascii="Arial" w:cs="Arial" w:eastAsia="Arial" w:hAnsi="Arial"/>
          <w:i/>
          <w:iCs/>
          <w:color w:val="888888"/>
          <w:sz w:val="17"/>
          <w:szCs w:val="17"/>
        </w:rPr>
        <w:t xml:space="preserve">This document is a preparation guide. UNAC CBA Article 16.6, Board of Regents Policy P04.04.060, and the application itself are authoritative.</w:t>
      </w:r>
    </w:p>
    <w:sectPr>
      <w:pgSz w:w="12240" w:h="15840" w:orient="portrait"/>
      <w:pgMar w:top="1000" w:right="1260" w:bottom="100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lvl>
  </w:abstractNum>
  <w:abstractNum w:abstractNumId="3" w15:restartNumberingAfterBreak="0">
    <w:multiLevelType w:val="hybridMultilevel"/>
    <w:lvl w:ilvl="0" w15:tentative="1">
      <w:start w:val="1"/>
      <w:numFmt w:val="bullet"/>
      <w:lvlText w:val="•"/>
      <w:lvlJc w:val="left"/>
      <w:pPr>
        <w:ind w:left="420" w:hanging="21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2026-10-07T20:00:47.662Z</dcterms:created>
  <dcterms:modified xsi:type="dcterms:W3CDTF">2026-10-07T20:00:47.669Z</dcterms:modified>
</cp:coreProperties>
</file>

<file path=docProps/custom.xml><?xml version="1.0" encoding="utf-8"?>
<Properties xmlns="http://schemas.openxmlformats.org/officeDocument/2006/custom-properties" xmlns:vt="http://schemas.openxmlformats.org/officeDocument/2006/docPropsVTypes"/>
</file>