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66B" w:rsidRDefault="0045566B" w:rsidP="00601933">
      <w:pPr>
        <w:pStyle w:val="Default"/>
        <w:jc w:val="center"/>
        <w:rPr>
          <w:b/>
          <w:sz w:val="28"/>
          <w:szCs w:val="28"/>
          <w:u w:val="single"/>
        </w:rPr>
      </w:pPr>
      <w:r>
        <w:rPr>
          <w:b/>
          <w:sz w:val="28"/>
          <w:szCs w:val="28"/>
          <w:u w:val="single"/>
        </w:rPr>
        <w:t xml:space="preserve">Promotion and/or Tenure, Post-Tenure </w:t>
      </w:r>
    </w:p>
    <w:p w:rsidR="00D37FEA" w:rsidRDefault="00D37FEA" w:rsidP="00601933">
      <w:pPr>
        <w:pStyle w:val="Default"/>
        <w:jc w:val="center"/>
        <w:rPr>
          <w:b/>
          <w:sz w:val="28"/>
          <w:szCs w:val="28"/>
          <w:u w:val="single"/>
        </w:rPr>
      </w:pPr>
      <w:r>
        <w:rPr>
          <w:b/>
          <w:sz w:val="28"/>
          <w:szCs w:val="28"/>
          <w:u w:val="single"/>
        </w:rPr>
        <w:t>Non-Tenure Promotion</w:t>
      </w:r>
    </w:p>
    <w:p w:rsidR="00601933" w:rsidRDefault="00601933" w:rsidP="00601933">
      <w:pPr>
        <w:pStyle w:val="Default"/>
        <w:jc w:val="center"/>
        <w:rPr>
          <w:b/>
          <w:sz w:val="28"/>
          <w:szCs w:val="28"/>
          <w:u w:val="single"/>
        </w:rPr>
      </w:pPr>
      <w:r w:rsidRPr="00601933">
        <w:rPr>
          <w:b/>
          <w:sz w:val="28"/>
          <w:szCs w:val="28"/>
          <w:u w:val="single"/>
        </w:rPr>
        <w:t>Comprehensive Review</w:t>
      </w:r>
    </w:p>
    <w:p w:rsidR="0045566B" w:rsidRPr="00601933" w:rsidRDefault="0045566B" w:rsidP="00601933">
      <w:pPr>
        <w:pStyle w:val="Default"/>
        <w:jc w:val="center"/>
        <w:rPr>
          <w:b/>
          <w:sz w:val="28"/>
          <w:szCs w:val="28"/>
          <w:u w:val="single"/>
        </w:rPr>
      </w:pPr>
      <w:r>
        <w:rPr>
          <w:b/>
          <w:sz w:val="28"/>
          <w:szCs w:val="28"/>
          <w:u w:val="single"/>
        </w:rPr>
        <w:t>CBA</w:t>
      </w:r>
    </w:p>
    <w:p w:rsidR="00601933" w:rsidRPr="000830EE" w:rsidRDefault="00601933" w:rsidP="00601933">
      <w:pPr>
        <w:pStyle w:val="Default"/>
      </w:pPr>
    </w:p>
    <w:p w:rsidR="00601933" w:rsidRPr="00D37FEA" w:rsidRDefault="00601933" w:rsidP="00601933">
      <w:pPr>
        <w:pStyle w:val="Default"/>
        <w:rPr>
          <w:u w:val="single"/>
        </w:rPr>
      </w:pPr>
      <w:r w:rsidRPr="00D37FEA">
        <w:rPr>
          <w:u w:val="single"/>
        </w:rPr>
        <w:t xml:space="preserve">CBA: 9.2.3 </w:t>
      </w:r>
    </w:p>
    <w:p w:rsidR="00601933" w:rsidRPr="000830EE" w:rsidRDefault="00601933" w:rsidP="00601933">
      <w:pPr>
        <w:pStyle w:val="Default"/>
      </w:pPr>
    </w:p>
    <w:p w:rsidR="00601933" w:rsidRPr="000830EE" w:rsidRDefault="00601933" w:rsidP="00601933">
      <w:pPr>
        <w:pStyle w:val="Default"/>
        <w:numPr>
          <w:ilvl w:val="0"/>
          <w:numId w:val="1"/>
        </w:numPr>
      </w:pPr>
      <w:r w:rsidRPr="000830EE">
        <w:t xml:space="preserve">Tenure track and tenured UNAC members shall be evaluated for promotion according to the procedures provided in this Article. </w:t>
      </w:r>
    </w:p>
    <w:p w:rsidR="00601933" w:rsidRPr="000830EE" w:rsidRDefault="00601933" w:rsidP="00601933">
      <w:pPr>
        <w:pStyle w:val="Default"/>
        <w:ind w:left="720"/>
      </w:pPr>
    </w:p>
    <w:p w:rsidR="00601933" w:rsidRDefault="00601933" w:rsidP="00601933">
      <w:pPr>
        <w:pStyle w:val="Default"/>
        <w:numPr>
          <w:ilvl w:val="0"/>
          <w:numId w:val="1"/>
        </w:numPr>
      </w:pPr>
      <w:r w:rsidRPr="000830EE">
        <w:t xml:space="preserve">After considering the recommendations of the appropriate academic unit peer review committees, appropriate administrators, and other relevant sources, the chancellor may promote qualified UNAC members when promotion would be consistent with institutional need, mission, and resources. </w:t>
      </w:r>
    </w:p>
    <w:p w:rsidR="00304F22" w:rsidRDefault="00304F22" w:rsidP="00304F22">
      <w:pPr>
        <w:pStyle w:val="ListParagraph"/>
      </w:pPr>
    </w:p>
    <w:p w:rsidR="00304F22" w:rsidRPr="00304F22" w:rsidRDefault="00304F22" w:rsidP="00304F22">
      <w:pPr>
        <w:autoSpaceDE w:val="0"/>
        <w:autoSpaceDN w:val="0"/>
        <w:adjustRightInd w:val="0"/>
        <w:spacing w:after="0" w:line="240" w:lineRule="auto"/>
        <w:rPr>
          <w:rFonts w:ascii="Times New Roman" w:hAnsi="Times New Roman" w:cs="Times New Roman"/>
          <w:color w:val="000000"/>
          <w:sz w:val="24"/>
          <w:szCs w:val="24"/>
        </w:rPr>
      </w:pPr>
      <w:r w:rsidRPr="00D37FEA">
        <w:rPr>
          <w:rFonts w:ascii="Times New Roman" w:hAnsi="Times New Roman" w:cs="Times New Roman"/>
          <w:color w:val="000000"/>
          <w:sz w:val="24"/>
          <w:szCs w:val="24"/>
          <w:u w:val="single"/>
        </w:rPr>
        <w:t xml:space="preserve">CBA: </w:t>
      </w:r>
      <w:r w:rsidRPr="00304F22">
        <w:rPr>
          <w:rFonts w:ascii="Times New Roman" w:hAnsi="Times New Roman" w:cs="Times New Roman"/>
          <w:color w:val="000000"/>
          <w:sz w:val="24"/>
          <w:szCs w:val="24"/>
          <w:u w:val="single"/>
        </w:rPr>
        <w:t>9.2.7</w:t>
      </w:r>
      <w:r w:rsidRPr="00304F22">
        <w:rPr>
          <w:rFonts w:ascii="Times New Roman" w:hAnsi="Times New Roman" w:cs="Times New Roman"/>
          <w:color w:val="000000"/>
          <w:sz w:val="24"/>
          <w:szCs w:val="24"/>
        </w:rPr>
        <w:t xml:space="preserve"> Evaluation of Non-tenure Track UNAC Members for Promotion </w:t>
      </w:r>
    </w:p>
    <w:p w:rsidR="00304F22" w:rsidRPr="00304F22" w:rsidRDefault="00304F22" w:rsidP="00304F22">
      <w:pPr>
        <w:autoSpaceDE w:val="0"/>
        <w:autoSpaceDN w:val="0"/>
        <w:adjustRightInd w:val="0"/>
        <w:spacing w:after="0" w:line="240" w:lineRule="auto"/>
        <w:rPr>
          <w:rFonts w:ascii="Times New Roman" w:hAnsi="Times New Roman" w:cs="Times New Roman"/>
          <w:color w:val="000000"/>
          <w:sz w:val="24"/>
          <w:szCs w:val="24"/>
        </w:rPr>
      </w:pPr>
    </w:p>
    <w:p w:rsidR="00304F22" w:rsidRDefault="00304F22" w:rsidP="00304F22">
      <w:pPr>
        <w:pStyle w:val="Default"/>
        <w:numPr>
          <w:ilvl w:val="0"/>
          <w:numId w:val="3"/>
        </w:numPr>
      </w:pPr>
      <w:r w:rsidRPr="00304F22">
        <w:t xml:space="preserve">Non-tenure track UNAC members with five or more years of continuous service at rank may request to be evaluated for promotion. </w:t>
      </w:r>
    </w:p>
    <w:p w:rsidR="00304F22" w:rsidRDefault="00304F22" w:rsidP="00304F22">
      <w:pPr>
        <w:pStyle w:val="Default"/>
        <w:ind w:left="720"/>
      </w:pPr>
    </w:p>
    <w:p w:rsidR="00304F22" w:rsidRDefault="00304F22" w:rsidP="00304F22">
      <w:pPr>
        <w:pStyle w:val="Default"/>
        <w:numPr>
          <w:ilvl w:val="0"/>
          <w:numId w:val="3"/>
        </w:numPr>
      </w:pPr>
      <w:r w:rsidRPr="00304F22">
        <w:t xml:space="preserve">The evaluation process shall be parallel to that </w:t>
      </w:r>
      <w:r w:rsidRPr="00304F22">
        <w:t>of tenure track and tenured UNAC members.</w:t>
      </w:r>
    </w:p>
    <w:p w:rsidR="00304F22" w:rsidRDefault="00304F22" w:rsidP="00304F22">
      <w:pPr>
        <w:pStyle w:val="Default"/>
      </w:pPr>
      <w:r w:rsidRPr="00304F22">
        <w:t xml:space="preserve"> </w:t>
      </w:r>
    </w:p>
    <w:p w:rsidR="00304F22" w:rsidRDefault="00304F22" w:rsidP="00304F22">
      <w:pPr>
        <w:pStyle w:val="Default"/>
        <w:numPr>
          <w:ilvl w:val="0"/>
          <w:numId w:val="3"/>
        </w:numPr>
      </w:pPr>
      <w:r w:rsidRPr="00304F22">
        <w:t xml:space="preserve">The procedural processes and dates will be the same as in Article 9.2.6 with the exception of the composition of the academic unit peer review and MAU peer review committees, which is described below. </w:t>
      </w:r>
    </w:p>
    <w:p w:rsidR="00304F22" w:rsidRDefault="00304F22" w:rsidP="00304F22">
      <w:pPr>
        <w:pStyle w:val="Default"/>
      </w:pPr>
    </w:p>
    <w:p w:rsidR="00D37FEA" w:rsidRDefault="00304F22" w:rsidP="00D37FEA">
      <w:pPr>
        <w:pStyle w:val="Default"/>
        <w:numPr>
          <w:ilvl w:val="0"/>
          <w:numId w:val="3"/>
        </w:numPr>
      </w:pPr>
      <w:r w:rsidRPr="00304F22">
        <w:t>This process is the sole means for promotion for non-tenure track UNAC members.</w:t>
      </w:r>
    </w:p>
    <w:p w:rsidR="00D37FEA" w:rsidRPr="00D37FEA" w:rsidRDefault="00D37FEA" w:rsidP="00D37FEA">
      <w:pPr>
        <w:pStyle w:val="Default"/>
      </w:pPr>
      <w:bookmarkStart w:id="0" w:name="_GoBack"/>
      <w:bookmarkEnd w:id="0"/>
    </w:p>
    <w:p w:rsidR="00D37FEA" w:rsidRPr="00D37FEA" w:rsidRDefault="00D37FEA" w:rsidP="00D37FEA">
      <w:pPr>
        <w:pStyle w:val="ListParagraph"/>
        <w:numPr>
          <w:ilvl w:val="0"/>
          <w:numId w:val="3"/>
        </w:numPr>
        <w:rPr>
          <w:rFonts w:ascii="Times New Roman" w:hAnsi="Times New Roman" w:cs="Times New Roman"/>
          <w:sz w:val="24"/>
          <w:szCs w:val="24"/>
        </w:rPr>
      </w:pPr>
      <w:r w:rsidRPr="00D37FEA">
        <w:rPr>
          <w:rFonts w:ascii="Times New Roman" w:hAnsi="Times New Roman" w:cs="Times New Roman"/>
          <w:sz w:val="24"/>
          <w:szCs w:val="24"/>
        </w:rPr>
        <w:t>If the decision of the chancellor is to deny promotion, the non-tenure track UNAC member shall retain current academic rank. A UNAC member denied promotion may not reapply for promotion for at least one year from the chancellor’s decision.</w:t>
      </w:r>
    </w:p>
    <w:p w:rsidR="00601933" w:rsidRPr="000830EE" w:rsidRDefault="00601933" w:rsidP="00601933">
      <w:pPr>
        <w:pStyle w:val="Default"/>
        <w:ind w:left="720"/>
      </w:pPr>
    </w:p>
    <w:p w:rsidR="00601933" w:rsidRPr="000830EE" w:rsidRDefault="00601933" w:rsidP="00601933">
      <w:pPr>
        <w:pStyle w:val="Default"/>
        <w:rPr>
          <w:color w:val="auto"/>
        </w:rPr>
      </w:pPr>
      <w:r w:rsidRPr="000830EE">
        <w:t>The UNAC member shall submit a file, and t</w:t>
      </w:r>
      <w:r w:rsidRPr="000830EE">
        <w:rPr>
          <w:color w:val="auto"/>
        </w:rPr>
        <w:t>he Provost office provides an electronic list of table of contents for the following requested documents:</w:t>
      </w:r>
    </w:p>
    <w:p w:rsidR="00601933" w:rsidRPr="000830EE" w:rsidRDefault="00601933" w:rsidP="00601933">
      <w:pPr>
        <w:pStyle w:val="Default"/>
        <w:rPr>
          <w:color w:val="auto"/>
        </w:rPr>
      </w:pPr>
    </w:p>
    <w:p w:rsidR="00601933" w:rsidRPr="000830EE" w:rsidRDefault="00601933" w:rsidP="00601933">
      <w:pPr>
        <w:pStyle w:val="Default"/>
        <w:spacing w:after="231"/>
        <w:ind w:firstLine="720"/>
      </w:pPr>
      <w:r w:rsidRPr="000830EE">
        <w:t xml:space="preserve">1. Current CV; </w:t>
      </w:r>
    </w:p>
    <w:p w:rsidR="00601933" w:rsidRPr="000830EE" w:rsidRDefault="00601933" w:rsidP="00601933">
      <w:pPr>
        <w:pStyle w:val="Default"/>
        <w:spacing w:after="231"/>
        <w:ind w:firstLine="720"/>
      </w:pPr>
      <w:r w:rsidRPr="000830EE">
        <w:t xml:space="preserve">2. Annual workload assignments for the period under review; </w:t>
      </w:r>
    </w:p>
    <w:p w:rsidR="00601933" w:rsidRPr="000830EE" w:rsidRDefault="00601933" w:rsidP="00601933">
      <w:pPr>
        <w:pStyle w:val="Default"/>
        <w:spacing w:after="231"/>
        <w:ind w:firstLine="720"/>
      </w:pPr>
      <w:r w:rsidRPr="000830EE">
        <w:t xml:space="preserve">3. A cumulative activity report for the period under review; </w:t>
      </w:r>
    </w:p>
    <w:p w:rsidR="00601933" w:rsidRPr="000830EE" w:rsidRDefault="00601933" w:rsidP="00601933">
      <w:pPr>
        <w:pStyle w:val="Default"/>
        <w:ind w:firstLine="720"/>
      </w:pPr>
      <w:r w:rsidRPr="000830EE">
        <w:t xml:space="preserve">4. Feedback from the dean, director, or designee in response to the Annual Activity </w:t>
      </w:r>
    </w:p>
    <w:p w:rsidR="00601933" w:rsidRPr="000830EE" w:rsidRDefault="00601933" w:rsidP="00601933">
      <w:pPr>
        <w:pStyle w:val="Default"/>
        <w:spacing w:after="232"/>
        <w:ind w:firstLine="720"/>
        <w:rPr>
          <w:color w:val="auto"/>
        </w:rPr>
      </w:pPr>
      <w:r w:rsidRPr="000830EE">
        <w:rPr>
          <w:color w:val="auto"/>
        </w:rPr>
        <w:t xml:space="preserve">Reports for the period under review; </w:t>
      </w:r>
    </w:p>
    <w:p w:rsidR="00601933" w:rsidRPr="000830EE" w:rsidRDefault="00601933" w:rsidP="00601933">
      <w:pPr>
        <w:pStyle w:val="Default"/>
        <w:spacing w:after="232"/>
        <w:ind w:left="720"/>
        <w:rPr>
          <w:color w:val="auto"/>
        </w:rPr>
      </w:pPr>
      <w:r w:rsidRPr="000830EE">
        <w:rPr>
          <w:color w:val="auto"/>
        </w:rPr>
        <w:lastRenderedPageBreak/>
        <w:t xml:space="preserve">5. Evidence of teaching effectiveness for the years under review, where applicable, as defined by appropriate MAU criteria; </w:t>
      </w:r>
    </w:p>
    <w:p w:rsidR="00601933" w:rsidRPr="000830EE" w:rsidRDefault="00601933" w:rsidP="00601933">
      <w:pPr>
        <w:pStyle w:val="Default"/>
        <w:spacing w:after="232"/>
        <w:ind w:firstLine="720"/>
        <w:rPr>
          <w:color w:val="auto"/>
        </w:rPr>
      </w:pPr>
      <w:r w:rsidRPr="000830EE">
        <w:rPr>
          <w:color w:val="auto"/>
        </w:rPr>
        <w:t xml:space="preserve">6. Summarized teaching evaluations for the years under review, where applicable; </w:t>
      </w:r>
    </w:p>
    <w:p w:rsidR="00601933" w:rsidRPr="000830EE" w:rsidRDefault="00601933" w:rsidP="00601933">
      <w:pPr>
        <w:pStyle w:val="Default"/>
        <w:spacing w:after="232"/>
        <w:ind w:left="720"/>
        <w:rPr>
          <w:color w:val="auto"/>
        </w:rPr>
      </w:pPr>
      <w:r w:rsidRPr="000830EE">
        <w:rPr>
          <w:color w:val="auto"/>
        </w:rPr>
        <w:t xml:space="preserve">7. Self-evaluation that summarizes the UNAC member’s scholarly contributions and accomplishments in other areas included in their workload agreements for the period under review; </w:t>
      </w:r>
    </w:p>
    <w:p w:rsidR="00601933" w:rsidRPr="000830EE" w:rsidRDefault="00601933" w:rsidP="00601933">
      <w:pPr>
        <w:pStyle w:val="Default"/>
        <w:spacing w:after="232"/>
        <w:ind w:left="720"/>
        <w:rPr>
          <w:color w:val="auto"/>
        </w:rPr>
      </w:pPr>
      <w:r w:rsidRPr="000830EE">
        <w:rPr>
          <w:color w:val="auto"/>
        </w:rPr>
        <w:t xml:space="preserve">8. If the dean, director, or designee’s feedback to previous evaluations noted areas for improvement, then the self- evaluation shall include a summary of progress made to address those areas. </w:t>
      </w:r>
    </w:p>
    <w:p w:rsidR="00601933" w:rsidRPr="000830EE" w:rsidRDefault="00601933" w:rsidP="00601933">
      <w:pPr>
        <w:pStyle w:val="Default"/>
        <w:spacing w:after="232"/>
        <w:ind w:firstLine="720"/>
        <w:rPr>
          <w:color w:val="auto"/>
        </w:rPr>
      </w:pPr>
      <w:r w:rsidRPr="000830EE">
        <w:rPr>
          <w:color w:val="auto"/>
        </w:rPr>
        <w:t xml:space="preserve">9. External review letters; </w:t>
      </w:r>
      <w:r w:rsidR="0045566B">
        <w:rPr>
          <w:color w:val="auto"/>
        </w:rPr>
        <w:t>(</w:t>
      </w:r>
      <w:r w:rsidR="0045566B" w:rsidRPr="0045566B">
        <w:rPr>
          <w:color w:val="auto"/>
          <w:highlight w:val="yellow"/>
        </w:rPr>
        <w:t>EXCEPT for Post-Tenure Reviews</w:t>
      </w:r>
      <w:r w:rsidR="0045566B">
        <w:rPr>
          <w:color w:val="auto"/>
        </w:rPr>
        <w:t>)</w:t>
      </w:r>
    </w:p>
    <w:p w:rsidR="00601933" w:rsidRPr="000830EE" w:rsidRDefault="00601933" w:rsidP="00601933">
      <w:pPr>
        <w:pStyle w:val="Default"/>
        <w:spacing w:after="232"/>
        <w:ind w:firstLine="720"/>
        <w:rPr>
          <w:color w:val="auto"/>
        </w:rPr>
      </w:pPr>
      <w:r w:rsidRPr="000830EE">
        <w:rPr>
          <w:color w:val="auto"/>
        </w:rPr>
        <w:t xml:space="preserve">10. Other materials as specified in academic unit peer review and MAU criteria; </w:t>
      </w:r>
    </w:p>
    <w:p w:rsidR="000830EE" w:rsidRPr="000830EE" w:rsidRDefault="00601933" w:rsidP="00601933">
      <w:pPr>
        <w:pStyle w:val="Default"/>
        <w:ind w:firstLine="720"/>
        <w:rPr>
          <w:color w:val="auto"/>
        </w:rPr>
      </w:pPr>
      <w:r w:rsidRPr="000830EE">
        <w:rPr>
          <w:color w:val="auto"/>
        </w:rPr>
        <w:t xml:space="preserve">11. Other materials at the discretion of the UNAC member. </w:t>
      </w:r>
    </w:p>
    <w:p w:rsidR="000830EE" w:rsidRDefault="000830EE">
      <w:pPr>
        <w:rPr>
          <w:rFonts w:ascii="Times New Roman" w:hAnsi="Times New Roman" w:cs="Times New Roman"/>
          <w:sz w:val="23"/>
          <w:szCs w:val="23"/>
        </w:rPr>
      </w:pPr>
      <w:r>
        <w:rPr>
          <w:sz w:val="23"/>
          <w:szCs w:val="23"/>
        </w:rPr>
        <w:br w:type="page"/>
      </w:r>
    </w:p>
    <w:p w:rsidR="00304F22" w:rsidRPr="00304F22" w:rsidRDefault="00304F22" w:rsidP="000830EE">
      <w:pPr>
        <w:jc w:val="both"/>
        <w:rPr>
          <w:rFonts w:ascii="Times New Roman" w:hAnsi="Times New Roman" w:cs="Times New Roman"/>
          <w:b/>
          <w:sz w:val="24"/>
          <w:szCs w:val="24"/>
          <w:u w:val="single"/>
        </w:rPr>
      </w:pPr>
    </w:p>
    <w:p w:rsidR="000830EE" w:rsidRPr="000830EE" w:rsidRDefault="000830EE" w:rsidP="000830EE">
      <w:pPr>
        <w:jc w:val="both"/>
        <w:rPr>
          <w:rFonts w:ascii="Times New Roman" w:hAnsi="Times New Roman" w:cs="Times New Roman"/>
          <w:b/>
          <w:i/>
          <w:sz w:val="24"/>
          <w:szCs w:val="24"/>
          <w:u w:val="single"/>
        </w:rPr>
      </w:pPr>
      <w:r w:rsidRPr="000830EE">
        <w:rPr>
          <w:rFonts w:ascii="Times New Roman" w:hAnsi="Times New Roman" w:cs="Times New Roman"/>
          <w:b/>
          <w:i/>
          <w:sz w:val="24"/>
          <w:szCs w:val="24"/>
          <w:u w:val="single"/>
        </w:rPr>
        <w:t>Tenure Review Prior to the Mandatory Year</w:t>
      </w:r>
    </w:p>
    <w:p w:rsidR="000830EE" w:rsidRPr="000830EE" w:rsidRDefault="000830EE" w:rsidP="000830EE">
      <w:pPr>
        <w:jc w:val="both"/>
        <w:rPr>
          <w:rFonts w:ascii="Times New Roman" w:hAnsi="Times New Roman" w:cs="Times New Roman"/>
          <w:sz w:val="24"/>
          <w:szCs w:val="24"/>
        </w:rPr>
      </w:pPr>
      <w:r w:rsidRPr="000830EE">
        <w:rPr>
          <w:rFonts w:ascii="Times New Roman" w:hAnsi="Times New Roman" w:cs="Times New Roman"/>
          <w:sz w:val="24"/>
          <w:szCs w:val="24"/>
        </w:rPr>
        <w:t xml:space="preserve">Exceptional accomplishments may provide grounds for a review prior to the mandatory year.  It is advisable that faculty and administration become very familiar with CBA and UAF Policy language regarding review prior to the mandatory year. </w:t>
      </w:r>
    </w:p>
    <w:p w:rsidR="000830EE" w:rsidRPr="000830EE" w:rsidRDefault="000830EE" w:rsidP="000830EE">
      <w:pPr>
        <w:jc w:val="both"/>
        <w:rPr>
          <w:rFonts w:ascii="Times New Roman" w:hAnsi="Times New Roman" w:cs="Times New Roman"/>
          <w:sz w:val="24"/>
          <w:szCs w:val="24"/>
        </w:rPr>
      </w:pPr>
    </w:p>
    <w:p w:rsidR="000830EE" w:rsidRDefault="000830EE" w:rsidP="000830EE">
      <w:pPr>
        <w:numPr>
          <w:ilvl w:val="0"/>
          <w:numId w:val="2"/>
        </w:numPr>
        <w:spacing w:after="0" w:line="240" w:lineRule="auto"/>
        <w:jc w:val="both"/>
        <w:rPr>
          <w:rFonts w:ascii="Times New Roman" w:hAnsi="Times New Roman" w:cs="Times New Roman"/>
          <w:sz w:val="24"/>
          <w:szCs w:val="24"/>
        </w:rPr>
      </w:pPr>
      <w:r w:rsidRPr="000830EE">
        <w:rPr>
          <w:rFonts w:ascii="Times New Roman" w:hAnsi="Times New Roman" w:cs="Times New Roman"/>
          <w:sz w:val="24"/>
          <w:szCs w:val="24"/>
        </w:rPr>
        <w:t>Faculty may choose to stand for tenure after at least one year of tenure-track appointment at the university, but must do so prior to, or during, the mandatory seventh year.</w:t>
      </w:r>
    </w:p>
    <w:p w:rsidR="000830EE" w:rsidRPr="000830EE" w:rsidRDefault="000830EE" w:rsidP="000830EE">
      <w:pPr>
        <w:spacing w:after="0" w:line="240" w:lineRule="auto"/>
        <w:ind w:left="720"/>
        <w:jc w:val="both"/>
        <w:rPr>
          <w:rFonts w:ascii="Times New Roman" w:hAnsi="Times New Roman" w:cs="Times New Roman"/>
          <w:sz w:val="24"/>
          <w:szCs w:val="24"/>
        </w:rPr>
      </w:pPr>
    </w:p>
    <w:p w:rsidR="000830EE" w:rsidRDefault="000830EE" w:rsidP="000830EE">
      <w:pPr>
        <w:numPr>
          <w:ilvl w:val="0"/>
          <w:numId w:val="2"/>
        </w:numPr>
        <w:spacing w:after="0" w:line="240" w:lineRule="auto"/>
        <w:jc w:val="both"/>
        <w:rPr>
          <w:rFonts w:ascii="Times New Roman" w:hAnsi="Times New Roman" w:cs="Times New Roman"/>
          <w:sz w:val="24"/>
          <w:szCs w:val="24"/>
        </w:rPr>
      </w:pPr>
      <w:r w:rsidRPr="000830EE">
        <w:rPr>
          <w:rFonts w:ascii="Times New Roman" w:hAnsi="Times New Roman" w:cs="Times New Roman"/>
          <w:sz w:val="24"/>
          <w:szCs w:val="24"/>
        </w:rPr>
        <w:t>Faculty may withdraw their candidacy file from consideration at any step in the process prior to review by the chancellor, except in the fourth year for UNAC-represented faculty.</w:t>
      </w:r>
    </w:p>
    <w:p w:rsidR="000830EE" w:rsidRPr="000830EE" w:rsidRDefault="000830EE" w:rsidP="000830EE">
      <w:pPr>
        <w:spacing w:after="0" w:line="240" w:lineRule="auto"/>
        <w:jc w:val="both"/>
        <w:rPr>
          <w:rFonts w:ascii="Times New Roman" w:hAnsi="Times New Roman" w:cs="Times New Roman"/>
          <w:sz w:val="24"/>
          <w:szCs w:val="24"/>
        </w:rPr>
      </w:pPr>
    </w:p>
    <w:p w:rsidR="000830EE" w:rsidRPr="000830EE" w:rsidRDefault="000830EE" w:rsidP="000830EE">
      <w:pPr>
        <w:numPr>
          <w:ilvl w:val="0"/>
          <w:numId w:val="2"/>
        </w:numPr>
        <w:spacing w:after="0" w:line="240" w:lineRule="auto"/>
        <w:jc w:val="both"/>
        <w:rPr>
          <w:rFonts w:ascii="Times New Roman" w:hAnsi="Times New Roman" w:cs="Times New Roman"/>
          <w:sz w:val="24"/>
          <w:szCs w:val="24"/>
        </w:rPr>
      </w:pPr>
      <w:r w:rsidRPr="000830EE">
        <w:rPr>
          <w:rFonts w:ascii="Times New Roman" w:hAnsi="Times New Roman" w:cs="Times New Roman"/>
          <w:sz w:val="24"/>
          <w:szCs w:val="24"/>
        </w:rPr>
        <w:t>If the file continues to the chancellor and if the decision of the chancellor is to deny tenure, the faculty member may continue to serve as a tenure track faculty member but MAY NOT stand again for tenure prior to the mandatory year of service.</w:t>
      </w:r>
    </w:p>
    <w:p w:rsidR="000830EE" w:rsidRPr="000830EE" w:rsidRDefault="000830EE" w:rsidP="000830EE">
      <w:pPr>
        <w:jc w:val="both"/>
        <w:rPr>
          <w:rFonts w:ascii="Times New Roman" w:hAnsi="Times New Roman" w:cs="Times New Roman"/>
          <w:sz w:val="24"/>
          <w:szCs w:val="24"/>
        </w:rPr>
      </w:pPr>
    </w:p>
    <w:p w:rsidR="000830EE" w:rsidRPr="000830EE" w:rsidRDefault="000830EE" w:rsidP="000830EE">
      <w:pPr>
        <w:jc w:val="both"/>
        <w:rPr>
          <w:rFonts w:ascii="Times New Roman" w:hAnsi="Times New Roman" w:cs="Times New Roman"/>
          <w:sz w:val="24"/>
          <w:szCs w:val="24"/>
        </w:rPr>
      </w:pPr>
      <w:r w:rsidRPr="000830EE">
        <w:rPr>
          <w:rFonts w:ascii="Times New Roman" w:hAnsi="Times New Roman" w:cs="Times New Roman"/>
          <w:i/>
          <w:sz w:val="24"/>
          <w:szCs w:val="24"/>
        </w:rPr>
        <w:t>Promotion from Associate Professor to Full Professor</w:t>
      </w:r>
      <w:r w:rsidRPr="000830EE">
        <w:rPr>
          <w:rFonts w:ascii="Times New Roman" w:hAnsi="Times New Roman" w:cs="Times New Roman"/>
          <w:sz w:val="24"/>
          <w:szCs w:val="24"/>
        </w:rPr>
        <w:t xml:space="preserve"> </w:t>
      </w:r>
    </w:p>
    <w:p w:rsidR="000830EE" w:rsidRPr="000830EE" w:rsidRDefault="000830EE" w:rsidP="000830EE">
      <w:pPr>
        <w:jc w:val="both"/>
        <w:rPr>
          <w:rFonts w:ascii="Times New Roman" w:hAnsi="Times New Roman" w:cs="Times New Roman"/>
          <w:sz w:val="24"/>
          <w:szCs w:val="24"/>
        </w:rPr>
      </w:pPr>
      <w:r w:rsidRPr="000830EE">
        <w:rPr>
          <w:rFonts w:ascii="Times New Roman" w:hAnsi="Times New Roman" w:cs="Times New Roman"/>
          <w:sz w:val="24"/>
          <w:szCs w:val="24"/>
        </w:rPr>
        <w:t>It is good practice for the faculty member to discuss progress towards promotion from associate professor to professor with the department chair, senior colleagues, and their dean and/or director.  A faculty member denied promotion to full professor may not reapply for promotion for at least one year from the date of the chancellor’s decision.</w:t>
      </w:r>
    </w:p>
    <w:p w:rsidR="000830EE" w:rsidRPr="000830EE" w:rsidRDefault="000830EE" w:rsidP="000830EE">
      <w:pPr>
        <w:jc w:val="both"/>
        <w:rPr>
          <w:rFonts w:ascii="Times New Roman" w:hAnsi="Times New Roman" w:cs="Times New Roman"/>
          <w:sz w:val="24"/>
          <w:szCs w:val="24"/>
        </w:rPr>
      </w:pPr>
    </w:p>
    <w:p w:rsidR="000830EE" w:rsidRPr="000830EE" w:rsidRDefault="000830EE" w:rsidP="000830EE">
      <w:pPr>
        <w:jc w:val="both"/>
        <w:rPr>
          <w:rFonts w:ascii="Times New Roman" w:hAnsi="Times New Roman" w:cs="Times New Roman"/>
          <w:sz w:val="24"/>
          <w:szCs w:val="24"/>
        </w:rPr>
      </w:pPr>
      <w:r w:rsidRPr="000830EE">
        <w:rPr>
          <w:rFonts w:ascii="Times New Roman" w:hAnsi="Times New Roman" w:cs="Times New Roman"/>
          <w:sz w:val="24"/>
          <w:szCs w:val="24"/>
          <w:highlight w:val="yellow"/>
        </w:rPr>
        <w:t xml:space="preserve">NOTE: Faculty members who elect to stand for promotion to full professor during their required comprehensive post-tenure review year must undergo </w:t>
      </w:r>
      <w:r w:rsidRPr="000830EE">
        <w:rPr>
          <w:rFonts w:ascii="Times New Roman" w:hAnsi="Times New Roman" w:cs="Times New Roman"/>
          <w:sz w:val="24"/>
          <w:szCs w:val="24"/>
          <w:highlight w:val="yellow"/>
          <w:u w:val="single"/>
        </w:rPr>
        <w:t>BOTH</w:t>
      </w:r>
      <w:r w:rsidRPr="000830EE">
        <w:rPr>
          <w:rFonts w:ascii="Times New Roman" w:hAnsi="Times New Roman" w:cs="Times New Roman"/>
          <w:i/>
          <w:sz w:val="24"/>
          <w:szCs w:val="24"/>
          <w:highlight w:val="yellow"/>
        </w:rPr>
        <w:t xml:space="preserve"> </w:t>
      </w:r>
      <w:r w:rsidRPr="000830EE">
        <w:rPr>
          <w:rFonts w:ascii="Times New Roman" w:hAnsi="Times New Roman" w:cs="Times New Roman"/>
          <w:sz w:val="24"/>
          <w:szCs w:val="24"/>
          <w:highlight w:val="yellow"/>
        </w:rPr>
        <w:t>review types.</w:t>
      </w:r>
    </w:p>
    <w:p w:rsidR="00601933" w:rsidRPr="000830EE" w:rsidRDefault="00601933" w:rsidP="00601933">
      <w:pPr>
        <w:pStyle w:val="Default"/>
        <w:ind w:firstLine="720"/>
        <w:rPr>
          <w:color w:val="auto"/>
        </w:rPr>
      </w:pPr>
    </w:p>
    <w:sectPr w:rsidR="00601933" w:rsidRPr="00083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4639B"/>
    <w:multiLevelType w:val="hybridMultilevel"/>
    <w:tmpl w:val="4308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06F40"/>
    <w:multiLevelType w:val="hybridMultilevel"/>
    <w:tmpl w:val="7522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60BC7"/>
    <w:multiLevelType w:val="hybridMultilevel"/>
    <w:tmpl w:val="1FFC7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933"/>
    <w:rsid w:val="000830EE"/>
    <w:rsid w:val="00304F22"/>
    <w:rsid w:val="0045566B"/>
    <w:rsid w:val="00601933"/>
    <w:rsid w:val="00625FF3"/>
    <w:rsid w:val="00A77E02"/>
    <w:rsid w:val="00D3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B5BC3-6658-493E-A530-48AEB76B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193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01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 Hoppough</dc:creator>
  <cp:keywords/>
  <dc:description/>
  <cp:lastModifiedBy>Jennifer A Hoppough</cp:lastModifiedBy>
  <cp:revision>4</cp:revision>
  <dcterms:created xsi:type="dcterms:W3CDTF">2018-05-17T21:51:00Z</dcterms:created>
  <dcterms:modified xsi:type="dcterms:W3CDTF">2018-05-17T22:28:00Z</dcterms:modified>
</cp:coreProperties>
</file>