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5" w:type="dxa"/>
          <w:right w:w="15" w:type="dxa"/>
        </w:tblCellMar>
        <w:tblLook w:val="0000" w:firstRow="0" w:lastRow="0" w:firstColumn="0" w:lastColumn="0" w:noHBand="0" w:noVBand="0"/>
      </w:tblPr>
      <w:tblGrid>
        <w:gridCol w:w="5025"/>
        <w:gridCol w:w="720"/>
        <w:gridCol w:w="5040"/>
      </w:tblGrid>
      <w:tr w:rsidR="004C32CE" w:rsidRPr="004C32CE" w14:paraId="4D212D45" w14:textId="77777777" w:rsidTr="00B90573">
        <w:trPr>
          <w:cantSplit/>
          <w:trHeight w:hRule="exact" w:val="7200"/>
        </w:trPr>
        <w:tc>
          <w:tcPr>
            <w:tcW w:w="5025" w:type="dxa"/>
            <w:vAlign w:val="center"/>
          </w:tcPr>
          <w:p w14:paraId="7EAA9744"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717A05D6"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713ED681"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12B80522"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38A99CFA" w14:textId="77777777" w:rsidR="00036AD0" w:rsidRPr="00B83D7B" w:rsidRDefault="00036AD0" w:rsidP="00B83D7B">
            <w:pPr>
              <w:rPr>
                <w:rFonts w:ascii="Trebuchet MS" w:eastAsia="Times New Roman" w:hAnsi="Trebuchet MS" w:cs="Times New Roman"/>
                <w:color w:val="222222"/>
                <w:sz w:val="14"/>
                <w:szCs w:val="14"/>
                <w:shd w:val="clear" w:color="auto" w:fill="FFFFFF"/>
              </w:rPr>
            </w:pPr>
            <w:r>
              <w:rPr>
                <w:rFonts w:ascii="Trebuchet MS" w:eastAsia="Times New Roman" w:hAnsi="Trebuchet MS" w:cs="Times New Roman"/>
                <w:noProof/>
                <w:color w:val="222222"/>
                <w:sz w:val="14"/>
                <w:szCs w:val="14"/>
                <w:shd w:val="clear" w:color="auto" w:fill="FFFFFF"/>
              </w:rPr>
              <w:drawing>
                <wp:anchor distT="0" distB="0" distL="114300" distR="114300" simplePos="0" relativeHeight="251736064" behindDoc="0" locked="0" layoutInCell="1" allowOverlap="1" wp14:anchorId="0E82071D" wp14:editId="2D578C26">
                  <wp:simplePos x="0" y="0"/>
                  <wp:positionH relativeFrom="margin">
                    <wp:align>left</wp:align>
                  </wp:positionH>
                  <wp:positionV relativeFrom="paragraph">
                    <wp:align>bottom</wp:align>
                  </wp:positionV>
                  <wp:extent cx="622300" cy="56642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FLogo_A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566420"/>
                          </a:xfrm>
                          <a:prstGeom prst="rect">
                            <a:avLst/>
                          </a:prstGeom>
                        </pic:spPr>
                      </pic:pic>
                    </a:graphicData>
                  </a:graphic>
                  <wp14:sizeRelH relativeFrom="margin">
                    <wp14:pctWidth>0</wp14:pctWidth>
                  </wp14:sizeRelH>
                  <wp14:sizeRelV relativeFrom="margin">
                    <wp14:pctHeight>0</wp14:pctHeight>
                  </wp14:sizeRelV>
                </wp:anchor>
              </w:drawing>
            </w: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s, and</w:t>
            </w:r>
            <w:r>
              <w:rPr>
                <w:rFonts w:ascii="Trebuchet MS" w:eastAsia="Times New Roman" w:hAnsi="Trebuchet MS" w:cs="Times New Roman"/>
                <w:color w:val="222222"/>
                <w:sz w:val="14"/>
                <w:szCs w:val="14"/>
                <w:shd w:val="clear" w:color="auto" w:fill="FFFFFF"/>
              </w:rPr>
              <w:br/>
              <w:t>complaint procedures are included on</w:t>
            </w:r>
            <w:r>
              <w:rPr>
                <w:rFonts w:ascii="Trebuchet MS" w:eastAsia="Times New Roman" w:hAnsi="Trebuchet MS" w:cs="Times New Roman"/>
                <w:color w:val="222222"/>
                <w:sz w:val="14"/>
                <w:szCs w:val="14"/>
                <w:shd w:val="clear" w:color="auto" w:fill="FFFFFF"/>
              </w:rPr>
              <w:br/>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5DF8026D" w14:textId="77777777" w:rsidR="00036AD0" w:rsidRDefault="00036AD0" w:rsidP="00844CFC">
            <w:pPr>
              <w:ind w:left="126" w:right="126"/>
            </w:pPr>
            <w:r>
              <w:rPr>
                <w:noProof/>
              </w:rPr>
              <mc:AlternateContent>
                <mc:Choice Requires="wps">
                  <w:drawing>
                    <wp:anchor distT="0" distB="0" distL="114300" distR="114300" simplePos="0" relativeHeight="251737088" behindDoc="1" locked="0" layoutInCell="1" allowOverlap="1" wp14:anchorId="12A85284" wp14:editId="5E725B15">
                      <wp:simplePos x="0" y="0"/>
                      <wp:positionH relativeFrom="leftMargin">
                        <wp:posOffset>3200400</wp:posOffset>
                      </wp:positionH>
                      <wp:positionV relativeFrom="topMargin">
                        <wp:posOffset>4480560</wp:posOffset>
                      </wp:positionV>
                      <wp:extent cx="457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a:ln w="3175">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0A13C7" id="Straight Connector 18" o:spid="_x0000_s1026" style="position:absolute;z-index:-251579392;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252pt,352.8pt" to="4in,3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" strokecolor="black [3213]" strokeweight=".25pt">
                      <v:stroke dashstyle="1 1"/>
                      <v:shadow on="t" opacity="24903f" mv:blur="40000f" origin=",.5" offset="0,20000emu"/>
                      <w10:wrap anchorx="margin" anchory="margin"/>
                    </v:line>
                  </w:pict>
                </mc:Fallback>
              </mc:AlternateContent>
            </w:r>
          </w:p>
        </w:tc>
        <w:tc>
          <w:tcPr>
            <w:tcW w:w="720" w:type="dxa"/>
            <w:vAlign w:val="center"/>
          </w:tcPr>
          <w:p w14:paraId="7B81DE14" w14:textId="4BE9FDD8" w:rsidR="00844CFC" w:rsidRDefault="00B90573" w:rsidP="00844CFC">
            <w:pPr>
              <w:ind w:left="126" w:right="126"/>
            </w:pPr>
            <w:r>
              <w:rPr>
                <w:noProof/>
              </w:rPr>
              <mc:AlternateContent>
                <mc:Choice Requires="wps">
                  <w:drawing>
                    <wp:anchor distT="0" distB="0" distL="114300" distR="114300" simplePos="0" relativeHeight="251677696" behindDoc="1" locked="0" layoutInCell="1" allowOverlap="1" wp14:anchorId="2EA5F6D6" wp14:editId="716E12A6">
                      <wp:simplePos x="0" y="0"/>
                      <wp:positionH relativeFrom="page">
                        <wp:align>center</wp:align>
                      </wp:positionH>
                      <wp:positionV relativeFrom="topMargin">
                        <wp:posOffset>4297680</wp:posOffset>
                      </wp:positionV>
                      <wp:extent cx="0" cy="457200"/>
                      <wp:effectExtent l="0" t="0" r="25400" b="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chemeClr val="tx1"/>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05BA" id="Straight Connector 16" o:spid="_x0000_s1026" style="position:absolute;z-index:-251638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338.4pt" to="0,37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" strokecolor="black [3213]" strokeweight=".25pt">
                      <v:stroke dashstyle="1 1"/>
                      <w10:wrap anchorx="page" anchory="margin"/>
                    </v:line>
                  </w:pict>
                </mc:Fallback>
              </mc:AlternateContent>
            </w:r>
          </w:p>
        </w:tc>
        <w:tc>
          <w:tcPr>
            <w:tcW w:w="5040" w:type="dxa"/>
            <w:vAlign w:val="center"/>
          </w:tcPr>
          <w:p w14:paraId="624070DF" w14:textId="641D1941"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fldChar w:fldCharType="begin"/>
            </w:r>
            <w:r>
              <w:rPr>
                <w:rFonts w:ascii="Trebuchet MS" w:hAnsi="Trebuchet MS"/>
                <w:color w:val="222222"/>
                <w:sz w:val="14"/>
                <w:szCs w:val="14"/>
              </w:rPr>
              <w:instrText xml:space="preserve"> NEXT </w:instrText>
            </w:r>
            <w:r>
              <w:rPr>
                <w:rFonts w:ascii="Trebuchet MS" w:hAnsi="Trebuchet MS"/>
                <w:color w:val="222222"/>
                <w:sz w:val="14"/>
                <w:szCs w:val="14"/>
              </w:rPr>
              <w:fldChar w:fldCharType="separate"/>
            </w:r>
            <w:r>
              <w:rPr>
                <w:rFonts w:ascii="Trebuchet MS" w:hAnsi="Trebuchet MS"/>
                <w:color w:val="222222"/>
                <w:sz w:val="14"/>
                <w:szCs w:val="14"/>
              </w:rPr>
              <w:fldChar w:fldCharType="end"/>
            </w: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5D371465"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25164A6C"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6331E201"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0BB8393A" w14:textId="77777777" w:rsidR="00036AD0" w:rsidRPr="00B83D7B" w:rsidRDefault="00036AD0" w:rsidP="00B83D7B">
            <w:pPr>
              <w:rPr>
                <w:rFonts w:ascii="Trebuchet MS" w:eastAsia="Times New Roman" w:hAnsi="Trebuchet MS" w:cs="Times New Roman"/>
                <w:color w:val="222222"/>
                <w:sz w:val="14"/>
                <w:szCs w:val="14"/>
                <w:shd w:val="clear" w:color="auto" w:fill="FFFFFF"/>
              </w:rPr>
            </w:pPr>
            <w:r>
              <w:rPr>
                <w:rFonts w:ascii="Trebuchet MS" w:eastAsia="Times New Roman" w:hAnsi="Trebuchet MS" w:cs="Times New Roman"/>
                <w:noProof/>
                <w:color w:val="222222"/>
                <w:sz w:val="14"/>
                <w:szCs w:val="14"/>
                <w:shd w:val="clear" w:color="auto" w:fill="FFFFFF"/>
              </w:rPr>
              <w:drawing>
                <wp:anchor distT="0" distB="0" distL="114300" distR="114300" simplePos="0" relativeHeight="251732992" behindDoc="0" locked="0" layoutInCell="1" allowOverlap="1" wp14:anchorId="5B64C26F" wp14:editId="43841290">
                  <wp:simplePos x="0" y="0"/>
                  <wp:positionH relativeFrom="margin">
                    <wp:align>left</wp:align>
                  </wp:positionH>
                  <wp:positionV relativeFrom="paragraph">
                    <wp:align>bottom</wp:align>
                  </wp:positionV>
                  <wp:extent cx="622300" cy="566420"/>
                  <wp:effectExtent l="0" t="0" r="1270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FLogo_A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566420"/>
                          </a:xfrm>
                          <a:prstGeom prst="rect">
                            <a:avLst/>
                          </a:prstGeom>
                        </pic:spPr>
                      </pic:pic>
                    </a:graphicData>
                  </a:graphic>
                  <wp14:sizeRelH relativeFrom="margin">
                    <wp14:pctWidth>0</wp14:pctWidth>
                  </wp14:sizeRelH>
                  <wp14:sizeRelV relativeFrom="margin">
                    <wp14:pctHeight>0</wp14:pctHeight>
                  </wp14:sizeRelV>
                </wp:anchor>
              </w:drawing>
            </w: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s, and</w:t>
            </w:r>
            <w:r>
              <w:rPr>
                <w:rFonts w:ascii="Trebuchet MS" w:eastAsia="Times New Roman" w:hAnsi="Trebuchet MS" w:cs="Times New Roman"/>
                <w:color w:val="222222"/>
                <w:sz w:val="14"/>
                <w:szCs w:val="14"/>
                <w:shd w:val="clear" w:color="auto" w:fill="FFFFFF"/>
              </w:rPr>
              <w:br/>
              <w:t>complaint procedures are included on</w:t>
            </w:r>
            <w:r>
              <w:rPr>
                <w:rFonts w:ascii="Trebuchet MS" w:eastAsia="Times New Roman" w:hAnsi="Trebuchet MS" w:cs="Times New Roman"/>
                <w:color w:val="222222"/>
                <w:sz w:val="14"/>
                <w:szCs w:val="14"/>
                <w:shd w:val="clear" w:color="auto" w:fill="FFFFFF"/>
              </w:rPr>
              <w:br/>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35781906" w14:textId="77777777" w:rsidR="00036AD0" w:rsidRDefault="00036AD0" w:rsidP="00844CFC">
            <w:pPr>
              <w:ind w:left="126" w:right="126"/>
            </w:pPr>
            <w:r>
              <w:rPr>
                <w:noProof/>
              </w:rPr>
              <mc:AlternateContent>
                <mc:Choice Requires="wps">
                  <w:drawing>
                    <wp:anchor distT="0" distB="0" distL="114300" distR="114300" simplePos="0" relativeHeight="251734016" behindDoc="1" locked="0" layoutInCell="1" allowOverlap="1" wp14:anchorId="3CC8E9EA" wp14:editId="02C29A6A">
                      <wp:simplePos x="0" y="0"/>
                      <wp:positionH relativeFrom="leftMargin">
                        <wp:posOffset>3200400</wp:posOffset>
                      </wp:positionH>
                      <wp:positionV relativeFrom="topMargin">
                        <wp:posOffset>4480560</wp:posOffset>
                      </wp:positionV>
                      <wp:extent cx="457200" cy="0"/>
                      <wp:effectExtent l="50800" t="25400" r="76200" b="101600"/>
                      <wp:wrapNone/>
                      <wp:docPr id="46" name="Straight Connector 46"/>
                      <wp:cNvGraphicFramePr/>
                      <a:graphic xmlns:a="http://schemas.openxmlformats.org/drawingml/2006/main">
                        <a:graphicData uri="http://schemas.microsoft.com/office/word/2010/wordprocessingShape">
                          <wps:wsp>
                            <wps:cNvCnPr/>
                            <wps:spPr>
                              <a:xfrm>
                                <a:off x="0" y="0"/>
                                <a:ext cx="457200" cy="0"/>
                              </a:xfrm>
                              <a:prstGeom prst="line">
                                <a:avLst/>
                              </a:prstGeom>
                              <a:ln w="3175">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EB040C" id="Straight Connector 46" o:spid="_x0000_s1026" style="position:absolute;z-index:-25158246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252pt,352.8pt" to="4in,3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" strokecolor="black [3213]" strokeweight=".25pt">
                      <v:stroke dashstyle="1 1"/>
                      <v:shadow on="t" opacity="24903f" mv:blur="40000f" origin=",.5" offset="0,20000emu"/>
                      <w10:wrap anchorx="margin" anchory="margin"/>
                    </v:line>
                  </w:pict>
                </mc:Fallback>
              </mc:AlternateContent>
            </w:r>
          </w:p>
        </w:tc>
        <w:bookmarkStart w:id="0" w:name="_GoBack"/>
        <w:bookmarkEnd w:id="0"/>
      </w:tr>
      <w:tr w:rsidR="00844CFC" w14:paraId="0BC19C1F" w14:textId="77777777" w:rsidTr="0071013A">
        <w:trPr>
          <w:cantSplit/>
          <w:trHeight w:hRule="exact" w:val="7200"/>
        </w:trPr>
        <w:tc>
          <w:tcPr>
            <w:tcW w:w="5025" w:type="dxa"/>
            <w:vAlign w:val="center"/>
          </w:tcPr>
          <w:p w14:paraId="055A6CF3" w14:textId="69F81CA0"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fldChar w:fldCharType="begin"/>
            </w:r>
            <w:r>
              <w:rPr>
                <w:rFonts w:ascii="Trebuchet MS" w:hAnsi="Trebuchet MS"/>
                <w:color w:val="222222"/>
                <w:sz w:val="14"/>
                <w:szCs w:val="14"/>
              </w:rPr>
              <w:instrText xml:space="preserve"> NEXT </w:instrText>
            </w:r>
            <w:r>
              <w:rPr>
                <w:rFonts w:ascii="Trebuchet MS" w:hAnsi="Trebuchet MS"/>
                <w:color w:val="222222"/>
                <w:sz w:val="14"/>
                <w:szCs w:val="14"/>
              </w:rPr>
              <w:fldChar w:fldCharType="separate"/>
            </w:r>
            <w:r>
              <w:rPr>
                <w:rFonts w:ascii="Trebuchet MS" w:hAnsi="Trebuchet MS"/>
                <w:color w:val="222222"/>
                <w:sz w:val="14"/>
                <w:szCs w:val="14"/>
              </w:rPr>
              <w:fldChar w:fldCharType="end"/>
            </w: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79126032"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510147AA"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39271502"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2B5DB5CF" w14:textId="77777777" w:rsidR="00036AD0" w:rsidRPr="00B83D7B" w:rsidRDefault="00036AD0" w:rsidP="00B83D7B">
            <w:pPr>
              <w:rPr>
                <w:rFonts w:ascii="Trebuchet MS" w:eastAsia="Times New Roman" w:hAnsi="Trebuchet MS" w:cs="Times New Roman"/>
                <w:color w:val="222222"/>
                <w:sz w:val="14"/>
                <w:szCs w:val="14"/>
                <w:shd w:val="clear" w:color="auto" w:fill="FFFFFF"/>
              </w:rPr>
            </w:pPr>
            <w:r>
              <w:rPr>
                <w:rFonts w:ascii="Trebuchet MS" w:eastAsia="Times New Roman" w:hAnsi="Trebuchet MS" w:cs="Times New Roman"/>
                <w:noProof/>
                <w:color w:val="222222"/>
                <w:sz w:val="14"/>
                <w:szCs w:val="14"/>
                <w:shd w:val="clear" w:color="auto" w:fill="FFFFFF"/>
              </w:rPr>
              <w:drawing>
                <wp:anchor distT="0" distB="0" distL="114300" distR="114300" simplePos="0" relativeHeight="251729920" behindDoc="0" locked="0" layoutInCell="1" allowOverlap="1" wp14:anchorId="41CB42A2" wp14:editId="2DC82961">
                  <wp:simplePos x="0" y="0"/>
                  <wp:positionH relativeFrom="margin">
                    <wp:align>left</wp:align>
                  </wp:positionH>
                  <wp:positionV relativeFrom="paragraph">
                    <wp:align>bottom</wp:align>
                  </wp:positionV>
                  <wp:extent cx="622300" cy="566420"/>
                  <wp:effectExtent l="0" t="0" r="1270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FLogo_A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566420"/>
                          </a:xfrm>
                          <a:prstGeom prst="rect">
                            <a:avLst/>
                          </a:prstGeom>
                        </pic:spPr>
                      </pic:pic>
                    </a:graphicData>
                  </a:graphic>
                  <wp14:sizeRelH relativeFrom="margin">
                    <wp14:pctWidth>0</wp14:pctWidth>
                  </wp14:sizeRelH>
                  <wp14:sizeRelV relativeFrom="margin">
                    <wp14:pctHeight>0</wp14:pctHeight>
                  </wp14:sizeRelV>
                </wp:anchor>
              </w:drawing>
            </w: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s, and</w:t>
            </w:r>
            <w:r>
              <w:rPr>
                <w:rFonts w:ascii="Trebuchet MS" w:eastAsia="Times New Roman" w:hAnsi="Trebuchet MS" w:cs="Times New Roman"/>
                <w:color w:val="222222"/>
                <w:sz w:val="14"/>
                <w:szCs w:val="14"/>
                <w:shd w:val="clear" w:color="auto" w:fill="FFFFFF"/>
              </w:rPr>
              <w:br/>
              <w:t>complaint procedures are included on</w:t>
            </w:r>
            <w:r>
              <w:rPr>
                <w:rFonts w:ascii="Trebuchet MS" w:eastAsia="Times New Roman" w:hAnsi="Trebuchet MS" w:cs="Times New Roman"/>
                <w:color w:val="222222"/>
                <w:sz w:val="14"/>
                <w:szCs w:val="14"/>
                <w:shd w:val="clear" w:color="auto" w:fill="FFFFFF"/>
              </w:rPr>
              <w:br/>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451495FF" w14:textId="77777777" w:rsidR="00036AD0" w:rsidRDefault="00036AD0" w:rsidP="00844CFC">
            <w:pPr>
              <w:ind w:left="126" w:right="126"/>
            </w:pPr>
            <w:r>
              <w:rPr>
                <w:noProof/>
              </w:rPr>
              <mc:AlternateContent>
                <mc:Choice Requires="wps">
                  <w:drawing>
                    <wp:anchor distT="0" distB="0" distL="114300" distR="114300" simplePos="0" relativeHeight="251730944" behindDoc="1" locked="0" layoutInCell="1" allowOverlap="1" wp14:anchorId="72E8309F" wp14:editId="509E416A">
                      <wp:simplePos x="0" y="0"/>
                      <wp:positionH relativeFrom="leftMargin">
                        <wp:posOffset>3200400</wp:posOffset>
                      </wp:positionH>
                      <wp:positionV relativeFrom="topMargin">
                        <wp:posOffset>4480560</wp:posOffset>
                      </wp:positionV>
                      <wp:extent cx="457200" cy="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a:off x="0" y="0"/>
                                <a:ext cx="457200" cy="0"/>
                              </a:xfrm>
                              <a:prstGeom prst="line">
                                <a:avLst/>
                              </a:prstGeom>
                              <a:ln w="3175">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0E4ADB" id="Straight Connector 44" o:spid="_x0000_s1026" style="position:absolute;z-index:-251585536;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252pt,352.8pt" to="4in,3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" strokecolor="black [3213]" strokeweight=".25pt">
                      <v:stroke dashstyle="1 1"/>
                      <v:shadow on="t" opacity="24903f" mv:blur="40000f" origin=",.5" offset="0,20000emu"/>
                      <w10:wrap anchorx="margin" anchory="margin"/>
                    </v:line>
                  </w:pict>
                </mc:Fallback>
              </mc:AlternateContent>
            </w:r>
          </w:p>
        </w:tc>
        <w:tc>
          <w:tcPr>
            <w:tcW w:w="720" w:type="dxa"/>
            <w:vAlign w:val="center"/>
          </w:tcPr>
          <w:p w14:paraId="03F2FB9B" w14:textId="5F881233" w:rsidR="00844CFC" w:rsidRDefault="00844CFC" w:rsidP="00844CFC">
            <w:pPr>
              <w:ind w:left="126" w:right="126"/>
            </w:pPr>
          </w:p>
        </w:tc>
        <w:tc>
          <w:tcPr>
            <w:tcW w:w="5040" w:type="dxa"/>
            <w:vAlign w:val="center"/>
          </w:tcPr>
          <w:p w14:paraId="0D120CAE" w14:textId="6E6F0834"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Pr>
                <w:rFonts w:ascii="Trebuchet MS" w:hAnsi="Trebuchet MS"/>
                <w:color w:val="222222"/>
                <w:sz w:val="14"/>
                <w:szCs w:val="14"/>
              </w:rPr>
              <w:fldChar w:fldCharType="begin"/>
            </w:r>
            <w:r>
              <w:rPr>
                <w:rFonts w:ascii="Trebuchet MS" w:hAnsi="Trebuchet MS"/>
                <w:color w:val="222222"/>
                <w:sz w:val="14"/>
                <w:szCs w:val="14"/>
              </w:rPr>
              <w:instrText xml:space="preserve"> NEXT </w:instrText>
            </w:r>
            <w:r>
              <w:rPr>
                <w:rFonts w:ascii="Trebuchet MS" w:hAnsi="Trebuchet MS"/>
                <w:color w:val="222222"/>
                <w:sz w:val="14"/>
                <w:szCs w:val="14"/>
              </w:rPr>
              <w:fldChar w:fldCharType="separate"/>
            </w:r>
            <w:r>
              <w:rPr>
                <w:rFonts w:ascii="Trebuchet MS" w:hAnsi="Trebuchet MS"/>
                <w:color w:val="222222"/>
                <w:sz w:val="14"/>
                <w:szCs w:val="14"/>
              </w:rPr>
              <w:fldChar w:fldCharType="end"/>
            </w:r>
            <w:r>
              <w:rPr>
                <w:rFonts w:ascii="Trebuchet MS" w:hAnsi="Trebuchet MS"/>
                <w:color w:val="222222"/>
                <w:sz w:val="14"/>
                <w:szCs w:val="14"/>
              </w:rPr>
              <w:t xml:space="preserve">The University of Alaska Fairbanks </w:t>
            </w:r>
            <w:r w:rsidRPr="00B83D7B">
              <w:rPr>
                <w:rFonts w:ascii="Trebuchet MS" w:hAnsi="Trebuchet MS"/>
                <w:color w:val="222222"/>
                <w:sz w:val="14"/>
                <w:szCs w:val="14"/>
              </w:rPr>
              <w:t>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w:t>
            </w:r>
          </w:p>
          <w:p w14:paraId="087D22EA"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When implementing this commitment, the University is guided by Title VI and VII of the Civil Rights Act of 1964 and Civil Rights Act of 1991; Title IX of the Education Amendments of 1972; Executive Order 11246, and Executive Order 11375, as amended; Equal Pay Act of 1963; Age Discrimination in Employment Act of 1967 and Age Discrimination Act of 1975; Vietnam Era Veterans Readjustment Assistance Act of 1974; Americans with Disabilities Act (ADA) of 1990; the Americans with Disabilities Act Amendments Act of 2008; Genetic Information Nondiscrimination Act of 2008; Pregnancy Discrimination Act; Immigration Reform &amp; Control Act; Vocational Rehabilitation Act of 1973 and other federal laws or Alaska Statutes which guarantee equal opportunity to individuals and protected classes within our society.</w:t>
            </w:r>
          </w:p>
          <w:p w14:paraId="43B12B39"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The University's commitment to nondiscrimination, including against sex discrimination, applies to students, employees, and applicants for admission and employment.</w:t>
            </w:r>
          </w:p>
          <w:p w14:paraId="7ED3F6BB" w14:textId="77777777" w:rsidR="00036AD0" w:rsidRPr="00B83D7B" w:rsidRDefault="00036AD0" w:rsidP="00B83D7B">
            <w:pPr>
              <w:pStyle w:val="NormalWeb"/>
              <w:shd w:val="clear" w:color="auto" w:fill="FFFFFF"/>
              <w:spacing w:before="0" w:beforeAutospacing="0"/>
              <w:rPr>
                <w:rFonts w:ascii="Trebuchet MS" w:hAnsi="Trebuchet MS"/>
                <w:color w:val="222222"/>
                <w:sz w:val="14"/>
                <w:szCs w:val="14"/>
              </w:rPr>
            </w:pPr>
            <w:r w:rsidRPr="00B83D7B">
              <w:rPr>
                <w:rFonts w:ascii="Trebuchet MS" w:hAnsi="Trebuchet MS"/>
                <w:color w:val="222222"/>
                <w:sz w:val="14"/>
                <w:szCs w:val="14"/>
              </w:rPr>
              <w:t>This policy therefore affects employment policies and actions, as well as the delivery of educational services at all levels and facilities of the University. Further, the University's objective of ensuring equal opportunity will be met by taking affirmative action: i.e., making intensified, goal-oriented efforts to substantially increase the participation of groups where their representation is less than proportionate to their availability; providing reasonable accommodations to employees and students with disabilities; and ensuring that employment opportunities are widely disseminated to agencies and organizations that serve underrepresented protected classes.</w:t>
            </w:r>
          </w:p>
          <w:p w14:paraId="24AD59A6" w14:textId="77777777" w:rsidR="00036AD0" w:rsidRPr="00B83D7B" w:rsidRDefault="00036AD0" w:rsidP="00B83D7B">
            <w:pPr>
              <w:rPr>
                <w:rFonts w:ascii="Trebuchet MS" w:eastAsia="Times New Roman" w:hAnsi="Trebuchet MS" w:cs="Times New Roman"/>
                <w:color w:val="222222"/>
                <w:sz w:val="14"/>
                <w:szCs w:val="14"/>
                <w:shd w:val="clear" w:color="auto" w:fill="FFFFFF"/>
              </w:rPr>
            </w:pPr>
            <w:r>
              <w:rPr>
                <w:rFonts w:ascii="Trebuchet MS" w:eastAsia="Times New Roman" w:hAnsi="Trebuchet MS" w:cs="Times New Roman"/>
                <w:noProof/>
                <w:color w:val="222222"/>
                <w:sz w:val="14"/>
                <w:szCs w:val="14"/>
                <w:shd w:val="clear" w:color="auto" w:fill="FFFFFF"/>
              </w:rPr>
              <w:drawing>
                <wp:anchor distT="0" distB="0" distL="114300" distR="114300" simplePos="0" relativeHeight="251726848" behindDoc="0" locked="0" layoutInCell="1" allowOverlap="1" wp14:anchorId="3B83FA88" wp14:editId="512F15C9">
                  <wp:simplePos x="0" y="0"/>
                  <wp:positionH relativeFrom="margin">
                    <wp:align>left</wp:align>
                  </wp:positionH>
                  <wp:positionV relativeFrom="paragraph">
                    <wp:align>bottom</wp:align>
                  </wp:positionV>
                  <wp:extent cx="622300" cy="566420"/>
                  <wp:effectExtent l="0" t="0" r="1270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FLogo_A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566420"/>
                          </a:xfrm>
                          <a:prstGeom prst="rect">
                            <a:avLst/>
                          </a:prstGeom>
                        </pic:spPr>
                      </pic:pic>
                    </a:graphicData>
                  </a:graphic>
                  <wp14:sizeRelH relativeFrom="margin">
                    <wp14:pctWidth>0</wp14:pctWidth>
                  </wp14:sizeRelH>
                  <wp14:sizeRelV relativeFrom="margin">
                    <wp14:pctHeight>0</wp14:pctHeight>
                  </wp14:sizeRelV>
                </wp:anchor>
              </w:drawing>
            </w:r>
            <w:r w:rsidRPr="00B83D7B">
              <w:rPr>
                <w:rFonts w:ascii="Trebuchet MS" w:eastAsia="Times New Roman" w:hAnsi="Trebuchet MS" w:cs="Times New Roman"/>
                <w:color w:val="222222"/>
                <w:sz w:val="14"/>
                <w:szCs w:val="14"/>
                <w:shd w:val="clear" w:color="auto" w:fill="FFFFFF"/>
              </w:rPr>
              <w:t>Contact information, applicable law</w:t>
            </w:r>
            <w:r>
              <w:rPr>
                <w:rFonts w:ascii="Trebuchet MS" w:eastAsia="Times New Roman" w:hAnsi="Trebuchet MS" w:cs="Times New Roman"/>
                <w:color w:val="222222"/>
                <w:sz w:val="14"/>
                <w:szCs w:val="14"/>
                <w:shd w:val="clear" w:color="auto" w:fill="FFFFFF"/>
              </w:rPr>
              <w:t>s, and</w:t>
            </w:r>
            <w:r>
              <w:rPr>
                <w:rFonts w:ascii="Trebuchet MS" w:eastAsia="Times New Roman" w:hAnsi="Trebuchet MS" w:cs="Times New Roman"/>
                <w:color w:val="222222"/>
                <w:sz w:val="14"/>
                <w:szCs w:val="14"/>
                <w:shd w:val="clear" w:color="auto" w:fill="FFFFFF"/>
              </w:rPr>
              <w:br/>
              <w:t>complaint procedures are included on</w:t>
            </w:r>
            <w:r>
              <w:rPr>
                <w:rFonts w:ascii="Trebuchet MS" w:eastAsia="Times New Roman" w:hAnsi="Trebuchet MS" w:cs="Times New Roman"/>
                <w:color w:val="222222"/>
                <w:sz w:val="14"/>
                <w:szCs w:val="14"/>
                <w:shd w:val="clear" w:color="auto" w:fill="FFFFFF"/>
              </w:rPr>
              <w:br/>
            </w:r>
            <w:r w:rsidRPr="00B83D7B">
              <w:rPr>
                <w:rFonts w:ascii="Trebuchet MS" w:eastAsia="Times New Roman" w:hAnsi="Trebuchet MS" w:cs="Times New Roman"/>
                <w:color w:val="222222"/>
                <w:sz w:val="14"/>
                <w:szCs w:val="14"/>
                <w:shd w:val="clear" w:color="auto" w:fill="FFFFFF"/>
              </w:rPr>
              <w:t>UA's statement of nondiscrimination available at </w:t>
            </w:r>
            <w:r w:rsidRPr="00696CF3">
              <w:rPr>
                <w:rFonts w:ascii="Trebuchet MS" w:eastAsia="Times New Roman" w:hAnsi="Trebuchet MS" w:cs="Times New Roman"/>
                <w:b/>
                <w:color w:val="000000" w:themeColor="text1"/>
                <w:sz w:val="14"/>
                <w:szCs w:val="14"/>
                <w:shd w:val="clear" w:color="auto" w:fill="FFFFFF"/>
              </w:rPr>
              <w:t>www.alaska.edu/titleIXcompliance/nondiscrimination</w:t>
            </w:r>
            <w:r w:rsidRPr="00B83D7B">
              <w:rPr>
                <w:rFonts w:ascii="Trebuchet MS" w:eastAsia="Times New Roman" w:hAnsi="Trebuchet MS" w:cs="Times New Roman"/>
                <w:color w:val="000000" w:themeColor="text1"/>
                <w:sz w:val="14"/>
                <w:szCs w:val="14"/>
                <w:shd w:val="clear" w:color="auto" w:fill="FFFFFF"/>
              </w:rPr>
              <w:t>.</w:t>
            </w:r>
            <w:r>
              <w:rPr>
                <w:rFonts w:ascii="Trebuchet MS" w:eastAsia="Times New Roman" w:hAnsi="Trebuchet MS" w:cs="Times New Roman"/>
                <w:color w:val="000000" w:themeColor="text1"/>
                <w:sz w:val="14"/>
                <w:szCs w:val="14"/>
                <w:shd w:val="clear" w:color="auto" w:fill="FFFFFF"/>
              </w:rPr>
              <w:t xml:space="preserve"> </w:t>
            </w:r>
          </w:p>
          <w:p w14:paraId="2954F692" w14:textId="77777777" w:rsidR="00036AD0" w:rsidRDefault="00036AD0" w:rsidP="00844CFC">
            <w:pPr>
              <w:ind w:left="126" w:right="126"/>
            </w:pPr>
            <w:r>
              <w:rPr>
                <w:noProof/>
              </w:rPr>
              <mc:AlternateContent>
                <mc:Choice Requires="wps">
                  <w:drawing>
                    <wp:anchor distT="0" distB="0" distL="114300" distR="114300" simplePos="0" relativeHeight="251727872" behindDoc="1" locked="0" layoutInCell="1" allowOverlap="1" wp14:anchorId="1663ACD1" wp14:editId="08E99DE1">
                      <wp:simplePos x="0" y="0"/>
                      <wp:positionH relativeFrom="leftMargin">
                        <wp:posOffset>3200400</wp:posOffset>
                      </wp:positionH>
                      <wp:positionV relativeFrom="topMargin">
                        <wp:posOffset>4480560</wp:posOffset>
                      </wp:positionV>
                      <wp:extent cx="457200" cy="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a:off x="0" y="0"/>
                                <a:ext cx="457200" cy="0"/>
                              </a:xfrm>
                              <a:prstGeom prst="line">
                                <a:avLst/>
                              </a:prstGeom>
                              <a:ln w="3175">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406FF6" id="Straight Connector 42" o:spid="_x0000_s1026" style="position:absolute;z-index:-251588608;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252pt,352.8pt" to="4in,3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" strokecolor="black [3213]" strokeweight=".25pt">
                      <v:stroke dashstyle="1 1"/>
                      <v:shadow on="t" opacity="24903f" mv:blur="40000f" origin=",.5" offset="0,20000emu"/>
                      <w10:wrap anchorx="margin" anchory="margin"/>
                    </v:line>
                  </w:pict>
                </mc:Fallback>
              </mc:AlternateContent>
            </w:r>
          </w:p>
        </w:tc>
      </w:tr>
    </w:tbl>
    <w:p w14:paraId="1D8F0843" w14:textId="77777777" w:rsidR="00027018" w:rsidRPr="00844CFC" w:rsidRDefault="00027018" w:rsidP="00844CFC">
      <w:pPr>
        <w:ind w:left="126" w:right="126"/>
        <w:rPr>
          <w:vanish/>
        </w:rPr>
      </w:pPr>
    </w:p>
    <w:sectPr w:rsidR="00027018" w:rsidRPr="00844CFC" w:rsidSect="00844CFC">
      <w:type w:val="continuous"/>
      <w:pgSz w:w="12240" w:h="15840"/>
      <w:pgMar w:top="720" w:right="720" w:bottom="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FC"/>
    <w:rsid w:val="00027018"/>
    <w:rsid w:val="00036AD0"/>
    <w:rsid w:val="000B4CBA"/>
    <w:rsid w:val="000F340E"/>
    <w:rsid w:val="00111DA5"/>
    <w:rsid w:val="00121B31"/>
    <w:rsid w:val="0012497E"/>
    <w:rsid w:val="00141350"/>
    <w:rsid w:val="00156A65"/>
    <w:rsid w:val="0016128F"/>
    <w:rsid w:val="001C6A8D"/>
    <w:rsid w:val="00203220"/>
    <w:rsid w:val="002461EB"/>
    <w:rsid w:val="0025396E"/>
    <w:rsid w:val="002C479D"/>
    <w:rsid w:val="003967BE"/>
    <w:rsid w:val="00494759"/>
    <w:rsid w:val="004C32CE"/>
    <w:rsid w:val="00544051"/>
    <w:rsid w:val="005824D4"/>
    <w:rsid w:val="005C7308"/>
    <w:rsid w:val="005C7639"/>
    <w:rsid w:val="005E7E20"/>
    <w:rsid w:val="005F4C4D"/>
    <w:rsid w:val="00611DAC"/>
    <w:rsid w:val="0062518B"/>
    <w:rsid w:val="00644EF6"/>
    <w:rsid w:val="0067168C"/>
    <w:rsid w:val="00696CF3"/>
    <w:rsid w:val="0071013A"/>
    <w:rsid w:val="007279AF"/>
    <w:rsid w:val="00747810"/>
    <w:rsid w:val="007629D2"/>
    <w:rsid w:val="00782413"/>
    <w:rsid w:val="00844CFC"/>
    <w:rsid w:val="008D55F7"/>
    <w:rsid w:val="008D68D4"/>
    <w:rsid w:val="009B798C"/>
    <w:rsid w:val="009D1EE2"/>
    <w:rsid w:val="009D79E8"/>
    <w:rsid w:val="009F5D06"/>
    <w:rsid w:val="00B83D7B"/>
    <w:rsid w:val="00B90573"/>
    <w:rsid w:val="00BC2976"/>
    <w:rsid w:val="00C7431C"/>
    <w:rsid w:val="00CA4341"/>
    <w:rsid w:val="00CC4841"/>
    <w:rsid w:val="00CD547F"/>
    <w:rsid w:val="00CF4C06"/>
    <w:rsid w:val="00D24C9C"/>
    <w:rsid w:val="00D73FD0"/>
    <w:rsid w:val="00D86777"/>
    <w:rsid w:val="00DC72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146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CFC"/>
  </w:style>
  <w:style w:type="paragraph" w:styleId="Heading1">
    <w:name w:val="heading 1"/>
    <w:basedOn w:val="Normal"/>
    <w:next w:val="Normal"/>
    <w:link w:val="Heading1Char"/>
    <w:qFormat/>
    <w:rsid w:val="00CD547F"/>
    <w:pPr>
      <w:keepNext/>
      <w:keepLines/>
      <w:pageBreakBefore/>
      <w:spacing w:after="480" w:line="276" w:lineRule="auto"/>
      <w:ind w:left="360" w:hanging="36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qFormat/>
    <w:rsid w:val="00CD547F"/>
    <w:pPr>
      <w:keepNext/>
      <w:keepLines/>
      <w:spacing w:before="200" w:line="276" w:lineRule="auto"/>
      <w:ind w:left="1584" w:hanging="504"/>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ags">
    <w:name w:val="nametags"/>
    <w:basedOn w:val="Title"/>
    <w:autoRedefine/>
    <w:rsid w:val="00D24C9C"/>
    <w:rPr>
      <w:rFonts w:ascii="Trebuchet MS" w:hAnsi="Trebuchet MS"/>
      <w:b/>
      <w:sz w:val="32"/>
    </w:rPr>
  </w:style>
  <w:style w:type="paragraph" w:styleId="Title">
    <w:name w:val="Title"/>
    <w:basedOn w:val="Normal"/>
    <w:next w:val="Normal"/>
    <w:link w:val="TitleChar"/>
    <w:uiPriority w:val="10"/>
    <w:qFormat/>
    <w:rsid w:val="00D24C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C9C"/>
    <w:rPr>
      <w:rFonts w:asciiTheme="majorHAnsi" w:eastAsiaTheme="majorEastAsia" w:hAnsiTheme="majorHAnsi" w:cstheme="majorBidi"/>
      <w:spacing w:val="-10"/>
      <w:kern w:val="28"/>
      <w:sz w:val="56"/>
      <w:szCs w:val="56"/>
    </w:rPr>
  </w:style>
  <w:style w:type="paragraph" w:customStyle="1" w:styleId="Bodycopy">
    <w:name w:val="Body copy"/>
    <w:basedOn w:val="Normal"/>
    <w:qFormat/>
    <w:rsid w:val="00CD547F"/>
    <w:pPr>
      <w:spacing w:after="200"/>
    </w:pPr>
    <w:rPr>
      <w:rFonts w:eastAsia="Calibri" w:cstheme="minorHAnsi"/>
      <w:sz w:val="22"/>
      <w:szCs w:val="22"/>
    </w:rPr>
  </w:style>
  <w:style w:type="character" w:customStyle="1" w:styleId="Heading1Char">
    <w:name w:val="Heading 1 Char"/>
    <w:basedOn w:val="DefaultParagraphFont"/>
    <w:link w:val="Heading1"/>
    <w:rsid w:val="00CD547F"/>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rsid w:val="00CD547F"/>
    <w:rPr>
      <w:rFonts w:asciiTheme="majorHAnsi" w:eastAsiaTheme="majorEastAsia" w:hAnsiTheme="majorHAnsi" w:cstheme="majorBidi"/>
      <w:b/>
      <w:bCs/>
      <w:color w:val="5B9BD5" w:themeColor="accent1"/>
      <w:sz w:val="22"/>
      <w:szCs w:val="22"/>
    </w:rPr>
  </w:style>
  <w:style w:type="paragraph" w:styleId="Header">
    <w:name w:val="header"/>
    <w:basedOn w:val="Bodycopy"/>
    <w:link w:val="HeaderChar"/>
    <w:uiPriority w:val="99"/>
    <w:unhideWhenUsed/>
    <w:qFormat/>
    <w:rsid w:val="00CD547F"/>
    <w:pPr>
      <w:tabs>
        <w:tab w:val="center" w:pos="4680"/>
        <w:tab w:val="right" w:pos="9360"/>
      </w:tabs>
    </w:pPr>
    <w:rPr>
      <w:rFonts w:eastAsiaTheme="minorEastAsia"/>
      <w:color w:val="44546A" w:themeColor="text2"/>
      <w:sz w:val="20"/>
    </w:rPr>
  </w:style>
  <w:style w:type="character" w:customStyle="1" w:styleId="HeaderChar">
    <w:name w:val="Header Char"/>
    <w:link w:val="Header"/>
    <w:uiPriority w:val="99"/>
    <w:rsid w:val="00CD547F"/>
    <w:rPr>
      <w:rFonts w:cstheme="minorHAnsi"/>
      <w:color w:val="44546A" w:themeColor="text2"/>
      <w:sz w:val="20"/>
      <w:szCs w:val="22"/>
    </w:rPr>
  </w:style>
  <w:style w:type="paragraph" w:styleId="NormalWeb">
    <w:name w:val="Normal (Web)"/>
    <w:basedOn w:val="Normal"/>
    <w:uiPriority w:val="99"/>
    <w:semiHidden/>
    <w:unhideWhenUsed/>
    <w:rsid w:val="009B798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25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11268">
      <w:bodyDiv w:val="1"/>
      <w:marLeft w:val="0"/>
      <w:marRight w:val="0"/>
      <w:marTop w:val="0"/>
      <w:marBottom w:val="0"/>
      <w:divBdr>
        <w:top w:val="none" w:sz="0" w:space="0" w:color="auto"/>
        <w:left w:val="none" w:sz="0" w:space="0" w:color="auto"/>
        <w:bottom w:val="none" w:sz="0" w:space="0" w:color="auto"/>
        <w:right w:val="none" w:sz="0" w:space="0" w:color="auto"/>
      </w:divBdr>
    </w:div>
    <w:div w:id="902906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eme2">
  <a:themeElements>
    <a:clrScheme name="UAF blu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F78897-9545-1D42-805E-3A4C8063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1219</Words>
  <Characters>7842</Characters>
  <Application>Microsoft Macintosh Word</Application>
  <DocSecurity>0</DocSecurity>
  <Lines>140</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2017-08-05T00:00:00Z</cp:lastPrinted>
  <dcterms:created xsi:type="dcterms:W3CDTF">2017-08-04T19:58:00Z</dcterms:created>
  <dcterms:modified xsi:type="dcterms:W3CDTF">2017-08-05T00:40:00Z</dcterms:modified>
</cp:coreProperties>
</file>