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B" w:rsidRPr="0050477E" w:rsidRDefault="00900D9B" w:rsidP="00900D9B">
      <w:pPr>
        <w:rPr>
          <w:rFonts w:ascii="Trebuchet MS" w:hAnsi="Trebuchet MS" w:cs="Tahoma"/>
          <w:sz w:val="27"/>
          <w:szCs w:val="27"/>
        </w:rPr>
      </w:pPr>
      <w:r w:rsidRPr="0050477E">
        <w:rPr>
          <w:rFonts w:ascii="Trebuchet MS" w:hAnsi="Trebuchet MS" w:cs="Tahoma"/>
          <w:noProof/>
          <w:sz w:val="27"/>
          <w:szCs w:val="27"/>
        </w:rPr>
        <w:drawing>
          <wp:inline distT="0" distB="0" distL="0" distR="0" wp14:anchorId="1A87BCF4" wp14:editId="6468998E">
            <wp:extent cx="2122170" cy="2150745"/>
            <wp:effectExtent l="0" t="0" r="0" b="1905"/>
            <wp:docPr id="1" name="Picture 1" descr="C:\Users\rmadnick\AppData\Local\Microsoft\Windows\INetCache\Content.MSO\AFDCF7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adnick\AppData\Local\Microsoft\Windows\INetCache\Content.MSO\AFDCF72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2170" cy="2150745"/>
                    </a:xfrm>
                    <a:prstGeom prst="rect">
                      <a:avLst/>
                    </a:prstGeom>
                    <a:noFill/>
                    <a:ln>
                      <a:noFill/>
                    </a:ln>
                  </pic:spPr>
                </pic:pic>
              </a:graphicData>
            </a:graphic>
          </wp:inline>
        </w:drawing>
      </w:r>
      <w:bookmarkStart w:id="0" w:name="_GoBack"/>
      <w:bookmarkEnd w:id="0"/>
    </w:p>
    <w:p w:rsidR="00900D9B" w:rsidRPr="0050477E" w:rsidRDefault="00900D9B" w:rsidP="00900D9B">
      <w:pPr>
        <w:rPr>
          <w:rFonts w:ascii="Trebuchet MS" w:hAnsi="Trebuchet MS" w:cs="Tahoma"/>
          <w:sz w:val="27"/>
          <w:szCs w:val="27"/>
        </w:rPr>
      </w:pPr>
    </w:p>
    <w:p w:rsidR="00900D9B" w:rsidRPr="00C30DFB" w:rsidRDefault="00900D9B" w:rsidP="00900D9B">
      <w:pPr>
        <w:rPr>
          <w:rFonts w:ascii="Trebuchet MS" w:hAnsi="Trebuchet MS" w:cs="Tahoma"/>
          <w:color w:val="C00000"/>
          <w:sz w:val="27"/>
          <w:szCs w:val="27"/>
        </w:rPr>
      </w:pPr>
      <w:r w:rsidRPr="00C30DFB">
        <w:rPr>
          <w:rFonts w:ascii="Trebuchet MS" w:hAnsi="Trebuchet MS" w:cs="Tahoma"/>
          <w:i/>
          <w:color w:val="C00000"/>
          <w:sz w:val="27"/>
          <w:szCs w:val="27"/>
        </w:rPr>
        <w:t>Tuesday Tips</w:t>
      </w:r>
      <w:r w:rsidRPr="00C30DFB">
        <w:rPr>
          <w:rFonts w:ascii="Trebuchet MS" w:hAnsi="Trebuchet MS" w:cs="Tahoma"/>
          <w:color w:val="C00000"/>
          <w:sz w:val="27"/>
          <w:szCs w:val="27"/>
        </w:rPr>
        <w:t xml:space="preserve"> is a new outreach effort by OGCA.  The idea behind </w:t>
      </w:r>
      <w:r w:rsidRPr="00C30DFB">
        <w:rPr>
          <w:rFonts w:ascii="Trebuchet MS" w:hAnsi="Trebuchet MS" w:cs="Tahoma"/>
          <w:i/>
          <w:color w:val="C00000"/>
          <w:sz w:val="27"/>
          <w:szCs w:val="27"/>
        </w:rPr>
        <w:t>Tuesday Tips</w:t>
      </w:r>
      <w:r w:rsidRPr="00C30DFB">
        <w:rPr>
          <w:rFonts w:ascii="Trebuchet MS" w:hAnsi="Trebuchet MS" w:cs="Tahoma"/>
          <w:color w:val="C00000"/>
          <w:sz w:val="27"/>
          <w:szCs w:val="27"/>
        </w:rPr>
        <w:t xml:space="preserve"> is to convey tips, tricks and other helpful information around the area of research administration.  Our goal is to post on (almost every) Tuesdays.  If there is something you would like to see</w:t>
      </w:r>
      <w:r w:rsidR="00B74AED" w:rsidRPr="00C30DFB">
        <w:rPr>
          <w:rFonts w:ascii="Trebuchet MS" w:hAnsi="Trebuchet MS" w:cs="Tahoma"/>
          <w:color w:val="C00000"/>
          <w:sz w:val="27"/>
          <w:szCs w:val="27"/>
        </w:rPr>
        <w:t xml:space="preserve"> covered</w:t>
      </w:r>
      <w:r w:rsidRPr="00C30DFB">
        <w:rPr>
          <w:rFonts w:ascii="Trebuchet MS" w:hAnsi="Trebuchet MS" w:cs="Tahoma"/>
          <w:color w:val="C00000"/>
          <w:sz w:val="27"/>
          <w:szCs w:val="27"/>
        </w:rPr>
        <w:t xml:space="preserve"> on </w:t>
      </w:r>
      <w:r w:rsidRPr="00C30DFB">
        <w:rPr>
          <w:rFonts w:ascii="Trebuchet MS" w:hAnsi="Trebuchet MS" w:cs="Tahoma"/>
          <w:i/>
          <w:color w:val="C00000"/>
          <w:sz w:val="27"/>
          <w:szCs w:val="27"/>
        </w:rPr>
        <w:t>Tuesday Tips</w:t>
      </w:r>
      <w:r w:rsidRPr="00C30DFB">
        <w:rPr>
          <w:rFonts w:ascii="Trebuchet MS" w:hAnsi="Trebuchet MS" w:cs="Tahoma"/>
          <w:color w:val="C00000"/>
          <w:sz w:val="27"/>
          <w:szCs w:val="27"/>
        </w:rPr>
        <w:t xml:space="preserve">, email:   </w:t>
      </w:r>
      <w:hyperlink r:id="rId6" w:tgtFrame="_blank" w:history="1">
        <w:r w:rsidRPr="00C30DFB">
          <w:rPr>
            <w:rStyle w:val="Hyperlink"/>
            <w:rFonts w:ascii="Trebuchet MS" w:hAnsi="Trebuchet MS" w:cs="Tahoma"/>
            <w:color w:val="C00000"/>
            <w:sz w:val="27"/>
            <w:szCs w:val="27"/>
            <w:shd w:val="clear" w:color="auto" w:fill="FFFFFF"/>
          </w:rPr>
          <w:t>UAF-GCReATE@alaska.edu</w:t>
        </w:r>
      </w:hyperlink>
      <w:r w:rsidR="00C30DFB">
        <w:rPr>
          <w:rStyle w:val="Hyperlink"/>
          <w:rFonts w:ascii="Trebuchet MS" w:hAnsi="Trebuchet MS" w:cs="Tahoma"/>
          <w:color w:val="C00000"/>
          <w:sz w:val="27"/>
          <w:szCs w:val="27"/>
          <w:shd w:val="clear" w:color="auto" w:fill="FFFFFF"/>
        </w:rPr>
        <w:t>.</w:t>
      </w:r>
      <w:r w:rsidR="00E6377A" w:rsidRPr="00C30DFB">
        <w:rPr>
          <w:rStyle w:val="Hyperlink"/>
          <w:rFonts w:ascii="Trebuchet MS" w:hAnsi="Trebuchet MS" w:cs="Tahoma"/>
          <w:color w:val="C00000"/>
          <w:sz w:val="27"/>
          <w:szCs w:val="27"/>
          <w:u w:val="none"/>
          <w:shd w:val="clear" w:color="auto" w:fill="FFFFFF"/>
        </w:rPr>
        <w:t xml:space="preserve"> For more Tips visit </w:t>
      </w:r>
      <w:hyperlink r:id="rId7" w:history="1">
        <w:r w:rsidR="00E6377A" w:rsidRPr="00C30DFB">
          <w:rPr>
            <w:rStyle w:val="Hyperlink"/>
            <w:rFonts w:ascii="Trebuchet MS" w:hAnsi="Trebuchet MS" w:cs="Tahoma"/>
            <w:color w:val="C00000"/>
            <w:sz w:val="27"/>
            <w:szCs w:val="27"/>
            <w:shd w:val="clear" w:color="auto" w:fill="FFFFFF"/>
          </w:rPr>
          <w:t>OGCA website</w:t>
        </w:r>
      </w:hyperlink>
      <w:r w:rsidR="00C30DFB">
        <w:rPr>
          <w:rStyle w:val="Hyperlink"/>
          <w:rFonts w:ascii="Trebuchet MS" w:hAnsi="Trebuchet MS" w:cs="Tahoma"/>
          <w:color w:val="C00000"/>
          <w:sz w:val="27"/>
          <w:szCs w:val="27"/>
          <w:u w:val="none"/>
          <w:shd w:val="clear" w:color="auto" w:fill="FFFFFF"/>
        </w:rPr>
        <w:t>.</w:t>
      </w:r>
    </w:p>
    <w:p w:rsidR="00A52287" w:rsidRDefault="00A52287" w:rsidP="00A52287">
      <w:pPr>
        <w:shd w:val="clear" w:color="auto" w:fill="FFFFFF"/>
        <w:spacing w:before="100" w:beforeAutospacing="1" w:after="100" w:afterAutospacing="1"/>
        <w:rPr>
          <w:rFonts w:ascii="Trebuchet MS" w:eastAsia="Times New Roman" w:hAnsi="Trebuchet MS" w:cs="Tahoma"/>
          <w:color w:val="282828"/>
          <w:sz w:val="27"/>
          <w:szCs w:val="27"/>
        </w:rPr>
      </w:pPr>
    </w:p>
    <w:p w:rsidR="00580D14" w:rsidRDefault="00580D14" w:rsidP="00A52287">
      <w:pPr>
        <w:shd w:val="clear" w:color="auto" w:fill="FFFFFF"/>
        <w:spacing w:before="100" w:beforeAutospacing="1" w:after="100" w:afterAutospacing="1"/>
        <w:rPr>
          <w:rFonts w:ascii="Trebuchet MS" w:eastAsia="Times New Roman" w:hAnsi="Trebuchet MS" w:cs="Tahoma"/>
          <w:b/>
          <w:color w:val="2F5496" w:themeColor="accent1" w:themeShade="BF"/>
          <w:sz w:val="36"/>
          <w:szCs w:val="36"/>
        </w:rPr>
      </w:pPr>
      <w:r w:rsidRPr="00F4003C">
        <w:rPr>
          <w:rFonts w:ascii="Trebuchet MS" w:eastAsia="Times New Roman" w:hAnsi="Trebuchet MS" w:cs="Tahoma"/>
          <w:b/>
          <w:color w:val="2F5496" w:themeColor="accent1" w:themeShade="BF"/>
          <w:sz w:val="36"/>
          <w:szCs w:val="36"/>
        </w:rPr>
        <w:t>Not clear if funding is a Grant or Contract?</w:t>
      </w:r>
    </w:p>
    <w:p w:rsidR="00F4003C" w:rsidRPr="00F4003C" w:rsidRDefault="00F4003C" w:rsidP="00A52287">
      <w:pPr>
        <w:shd w:val="clear" w:color="auto" w:fill="FFFFFF"/>
        <w:spacing w:before="100" w:beforeAutospacing="1" w:after="100" w:afterAutospacing="1"/>
        <w:rPr>
          <w:rFonts w:ascii="Trebuchet MS" w:eastAsia="Times New Roman" w:hAnsi="Trebuchet MS" w:cs="Tahoma"/>
          <w:b/>
          <w:color w:val="2F5496" w:themeColor="accent1" w:themeShade="BF"/>
          <w:sz w:val="36"/>
          <w:szCs w:val="36"/>
        </w:rPr>
      </w:pPr>
    </w:p>
    <w:p w:rsidR="00580D14" w:rsidRPr="00F4003C" w:rsidRDefault="00580D14" w:rsidP="00580D14">
      <w:pPr>
        <w:rPr>
          <w:rFonts w:ascii="Trebuchet MS" w:hAnsi="Trebuchet MS" w:cs="Tahoma"/>
          <w:i/>
          <w:sz w:val="27"/>
          <w:szCs w:val="27"/>
        </w:rPr>
      </w:pPr>
      <w:r w:rsidRPr="00F4003C">
        <w:rPr>
          <w:rFonts w:ascii="Trebuchet MS" w:hAnsi="Trebuchet MS" w:cs="Tahoma"/>
          <w:bCs/>
          <w:i/>
          <w:sz w:val="27"/>
          <w:szCs w:val="27"/>
        </w:rPr>
        <w:t xml:space="preserve">If it isn’t clear at the proposal stage whether the funding will come to the </w:t>
      </w:r>
      <w:r w:rsidR="0089177B" w:rsidRPr="00F4003C">
        <w:rPr>
          <w:rFonts w:ascii="Trebuchet MS" w:hAnsi="Trebuchet MS" w:cs="Tahoma"/>
          <w:bCs/>
          <w:i/>
          <w:sz w:val="27"/>
          <w:szCs w:val="27"/>
        </w:rPr>
        <w:t>UAF</w:t>
      </w:r>
      <w:r w:rsidRPr="00F4003C">
        <w:rPr>
          <w:rFonts w:ascii="Trebuchet MS" w:hAnsi="Trebuchet MS" w:cs="Tahoma"/>
          <w:bCs/>
          <w:i/>
          <w:sz w:val="27"/>
          <w:szCs w:val="27"/>
        </w:rPr>
        <w:t xml:space="preserve"> in the form of grant or a contract – who should I work with at </w:t>
      </w:r>
      <w:r w:rsidR="0089177B" w:rsidRPr="00F4003C">
        <w:rPr>
          <w:rFonts w:ascii="Trebuchet MS" w:hAnsi="Trebuchet MS" w:cs="Tahoma"/>
          <w:bCs/>
          <w:i/>
          <w:sz w:val="27"/>
          <w:szCs w:val="27"/>
        </w:rPr>
        <w:t>OGCA</w:t>
      </w:r>
      <w:r w:rsidRPr="00F4003C">
        <w:rPr>
          <w:rFonts w:ascii="Trebuchet MS" w:hAnsi="Trebuchet MS" w:cs="Tahoma"/>
          <w:bCs/>
          <w:i/>
          <w:sz w:val="27"/>
          <w:szCs w:val="27"/>
        </w:rPr>
        <w:t>?</w:t>
      </w:r>
    </w:p>
    <w:p w:rsidR="00580D14" w:rsidRPr="00F4003C" w:rsidRDefault="00580D14" w:rsidP="00580D14">
      <w:pPr>
        <w:rPr>
          <w:rFonts w:ascii="Trebuchet MS" w:hAnsi="Trebuchet MS" w:cs="Tahoma"/>
          <w:sz w:val="27"/>
          <w:szCs w:val="27"/>
        </w:rPr>
      </w:pPr>
    </w:p>
    <w:p w:rsidR="00580D14" w:rsidRPr="00F4003C" w:rsidRDefault="00580D14" w:rsidP="00580D14">
      <w:pPr>
        <w:rPr>
          <w:rFonts w:ascii="Trebuchet MS" w:hAnsi="Trebuchet MS" w:cs="Tahoma"/>
          <w:sz w:val="27"/>
          <w:szCs w:val="27"/>
        </w:rPr>
      </w:pPr>
      <w:r w:rsidRPr="00F4003C">
        <w:rPr>
          <w:rFonts w:ascii="Trebuchet MS" w:hAnsi="Trebuchet MS" w:cs="Tahoma"/>
          <w:sz w:val="27"/>
          <w:szCs w:val="27"/>
        </w:rPr>
        <w:t xml:space="preserve">When a solicitation states that the proposal may be awarded as either a grant, cooperative agreement, or procurement contract, you will work with your designated Grants and Contracts </w:t>
      </w:r>
      <w:r w:rsidR="0089177B" w:rsidRPr="00F4003C">
        <w:rPr>
          <w:rFonts w:ascii="Trebuchet MS" w:hAnsi="Trebuchet MS" w:cs="Tahoma"/>
          <w:sz w:val="27"/>
          <w:szCs w:val="27"/>
        </w:rPr>
        <w:t>Analyst</w:t>
      </w:r>
      <w:r w:rsidRPr="00F4003C">
        <w:rPr>
          <w:rFonts w:ascii="Trebuchet MS" w:hAnsi="Trebuchet MS" w:cs="Tahoma"/>
          <w:sz w:val="27"/>
          <w:szCs w:val="27"/>
        </w:rPr>
        <w:t xml:space="preserve"> if:</w:t>
      </w:r>
    </w:p>
    <w:p w:rsidR="0089177B" w:rsidRPr="00F4003C" w:rsidRDefault="0089177B" w:rsidP="00580D14">
      <w:pPr>
        <w:rPr>
          <w:rFonts w:ascii="Trebuchet MS" w:hAnsi="Trebuchet MS" w:cs="Tahoma"/>
          <w:sz w:val="27"/>
          <w:szCs w:val="27"/>
        </w:rPr>
      </w:pPr>
    </w:p>
    <w:p w:rsidR="00580D14" w:rsidRPr="00F4003C" w:rsidRDefault="00580D14" w:rsidP="00580D14">
      <w:pPr>
        <w:numPr>
          <w:ilvl w:val="0"/>
          <w:numId w:val="5"/>
        </w:numPr>
        <w:rPr>
          <w:rFonts w:ascii="Trebuchet MS" w:hAnsi="Trebuchet MS" w:cs="Tahoma"/>
          <w:sz w:val="27"/>
          <w:szCs w:val="27"/>
        </w:rPr>
      </w:pPr>
      <w:r w:rsidRPr="00F4003C">
        <w:rPr>
          <w:rFonts w:ascii="Trebuchet MS" w:hAnsi="Trebuchet MS" w:cs="Tahoma"/>
          <w:sz w:val="27"/>
          <w:szCs w:val="27"/>
        </w:rPr>
        <w:t>The solicitation has a CFDA number, AND</w:t>
      </w:r>
    </w:p>
    <w:p w:rsidR="00580D14" w:rsidRPr="00F4003C" w:rsidRDefault="00580D14" w:rsidP="00580D14">
      <w:pPr>
        <w:numPr>
          <w:ilvl w:val="0"/>
          <w:numId w:val="5"/>
        </w:numPr>
        <w:rPr>
          <w:rFonts w:ascii="Trebuchet MS" w:hAnsi="Trebuchet MS" w:cs="Tahoma"/>
          <w:sz w:val="27"/>
          <w:szCs w:val="27"/>
        </w:rPr>
      </w:pPr>
      <w:r w:rsidRPr="00F4003C">
        <w:rPr>
          <w:rFonts w:ascii="Trebuchet MS" w:hAnsi="Trebuchet MS" w:cs="Tahoma"/>
          <w:sz w:val="27"/>
          <w:szCs w:val="27"/>
        </w:rPr>
        <w:t>The solicitation does not include FAR clauses or provisions.</w:t>
      </w:r>
    </w:p>
    <w:p w:rsidR="0089177B" w:rsidRPr="00F4003C" w:rsidRDefault="0089177B" w:rsidP="00580D14">
      <w:pPr>
        <w:rPr>
          <w:rFonts w:ascii="Trebuchet MS" w:hAnsi="Trebuchet MS" w:cs="Tahoma"/>
          <w:sz w:val="27"/>
          <w:szCs w:val="27"/>
        </w:rPr>
      </w:pPr>
    </w:p>
    <w:p w:rsidR="00580D14" w:rsidRPr="00F4003C" w:rsidRDefault="00580D14" w:rsidP="00580D14">
      <w:pPr>
        <w:rPr>
          <w:rFonts w:ascii="Trebuchet MS" w:hAnsi="Trebuchet MS" w:cs="Tahoma"/>
          <w:sz w:val="27"/>
          <w:szCs w:val="27"/>
        </w:rPr>
      </w:pPr>
      <w:r w:rsidRPr="00F4003C">
        <w:rPr>
          <w:rFonts w:ascii="Trebuchet MS" w:hAnsi="Trebuchet MS" w:cs="Tahoma"/>
          <w:sz w:val="27"/>
          <w:szCs w:val="27"/>
        </w:rPr>
        <w:t xml:space="preserve">However, if the solicitation states that the proposal may be awarded as an </w:t>
      </w:r>
      <w:r w:rsidR="0089177B" w:rsidRPr="00F4003C">
        <w:rPr>
          <w:rFonts w:ascii="Trebuchet MS" w:hAnsi="Trebuchet MS" w:cs="Tahoma"/>
          <w:sz w:val="27"/>
          <w:szCs w:val="27"/>
        </w:rPr>
        <w:t>Other</w:t>
      </w:r>
      <w:r w:rsidRPr="00F4003C">
        <w:rPr>
          <w:rFonts w:ascii="Trebuchet MS" w:hAnsi="Trebuchet MS" w:cs="Tahoma"/>
          <w:sz w:val="27"/>
          <w:szCs w:val="27"/>
        </w:rPr>
        <w:t xml:space="preserve"> Transaction Agreement (OTA), you will </w:t>
      </w:r>
      <w:r w:rsidR="0089177B" w:rsidRPr="00F4003C">
        <w:rPr>
          <w:rFonts w:ascii="Trebuchet MS" w:hAnsi="Trebuchet MS" w:cs="Tahoma"/>
          <w:sz w:val="27"/>
          <w:szCs w:val="27"/>
        </w:rPr>
        <w:t>work with OGCA.</w:t>
      </w:r>
    </w:p>
    <w:p w:rsidR="0089177B" w:rsidRPr="00F4003C" w:rsidRDefault="0089177B" w:rsidP="00580D14">
      <w:pPr>
        <w:rPr>
          <w:rFonts w:ascii="Trebuchet MS" w:hAnsi="Trebuchet MS" w:cs="Tahoma"/>
          <w:b/>
          <w:bCs/>
          <w:sz w:val="27"/>
          <w:szCs w:val="27"/>
        </w:rPr>
      </w:pPr>
    </w:p>
    <w:p w:rsidR="00580D14" w:rsidRPr="00F4003C" w:rsidRDefault="00580D14" w:rsidP="00580D14">
      <w:pPr>
        <w:rPr>
          <w:rFonts w:ascii="Trebuchet MS" w:hAnsi="Trebuchet MS" w:cs="Tahoma"/>
          <w:sz w:val="27"/>
          <w:szCs w:val="27"/>
        </w:rPr>
      </w:pPr>
      <w:r w:rsidRPr="00F4003C">
        <w:rPr>
          <w:rFonts w:ascii="Trebuchet MS" w:hAnsi="Trebuchet MS" w:cs="Tahoma"/>
          <w:b/>
          <w:bCs/>
          <w:sz w:val="27"/>
          <w:szCs w:val="27"/>
        </w:rPr>
        <w:t>What is an Other Transaction Agreement (OTA)?</w:t>
      </w:r>
    </w:p>
    <w:p w:rsidR="0089177B" w:rsidRPr="00F4003C" w:rsidRDefault="00580D14" w:rsidP="00580D14">
      <w:pPr>
        <w:rPr>
          <w:rFonts w:ascii="Trebuchet MS" w:hAnsi="Trebuchet MS" w:cs="Tahoma"/>
          <w:sz w:val="27"/>
          <w:szCs w:val="27"/>
        </w:rPr>
      </w:pPr>
      <w:r w:rsidRPr="00F4003C">
        <w:rPr>
          <w:rFonts w:ascii="Trebuchet MS" w:hAnsi="Trebuchet MS" w:cs="Tahoma"/>
          <w:sz w:val="27"/>
          <w:szCs w:val="27"/>
        </w:rPr>
        <w:t xml:space="preserve">Other Transaction Agreements (OTAs) are defined in the negative because there is no statutory or regulatory definition of “other transaction.” An OTA is a legally valid contract with the federal government that is not a traditional procurement contract, grant, or cooperative agreement. </w:t>
      </w:r>
    </w:p>
    <w:p w:rsidR="0089177B" w:rsidRPr="00F4003C" w:rsidRDefault="0089177B" w:rsidP="00580D14">
      <w:pPr>
        <w:rPr>
          <w:rFonts w:ascii="Trebuchet MS" w:hAnsi="Trebuchet MS" w:cs="Tahoma"/>
          <w:sz w:val="27"/>
          <w:szCs w:val="27"/>
        </w:rPr>
      </w:pPr>
    </w:p>
    <w:p w:rsidR="00580D14" w:rsidRPr="00F4003C" w:rsidRDefault="00580D14" w:rsidP="00580D14">
      <w:pPr>
        <w:rPr>
          <w:rFonts w:ascii="Trebuchet MS" w:hAnsi="Trebuchet MS" w:cs="Tahoma"/>
          <w:sz w:val="27"/>
          <w:szCs w:val="27"/>
        </w:rPr>
      </w:pPr>
      <w:r w:rsidRPr="00F4003C">
        <w:rPr>
          <w:rFonts w:ascii="Trebuchet MS" w:hAnsi="Trebuchet MS" w:cs="Tahoma"/>
          <w:sz w:val="27"/>
          <w:szCs w:val="27"/>
        </w:rPr>
        <w:t xml:space="preserve">It is not subject to the federal laws and regulations that apply to government acquisition contracts (FAR/supplement clauses) or assistance awards. The federal </w:t>
      </w:r>
      <w:r w:rsidRPr="00F4003C">
        <w:rPr>
          <w:rFonts w:ascii="Trebuchet MS" w:hAnsi="Trebuchet MS" w:cs="Tahoma"/>
          <w:sz w:val="27"/>
          <w:szCs w:val="27"/>
        </w:rPr>
        <w:lastRenderedPageBreak/>
        <w:t>government uses OTAs to streamline research and development, prototype development, and other projects.</w:t>
      </w:r>
    </w:p>
    <w:p w:rsidR="0089177B" w:rsidRPr="00F4003C" w:rsidRDefault="0089177B" w:rsidP="00580D14">
      <w:pPr>
        <w:rPr>
          <w:rFonts w:ascii="Trebuchet MS" w:hAnsi="Trebuchet MS" w:cs="Tahoma"/>
          <w:sz w:val="27"/>
          <w:szCs w:val="27"/>
        </w:rPr>
      </w:pPr>
    </w:p>
    <w:p w:rsidR="0089177B" w:rsidRPr="00F4003C" w:rsidRDefault="0089177B" w:rsidP="00580D14">
      <w:pPr>
        <w:rPr>
          <w:rFonts w:ascii="Trebuchet MS" w:hAnsi="Trebuchet MS" w:cs="Tahoma"/>
          <w:sz w:val="27"/>
          <w:szCs w:val="27"/>
        </w:rPr>
      </w:pPr>
      <w:r w:rsidRPr="00F4003C">
        <w:rPr>
          <w:rFonts w:ascii="Trebuchet MS" w:hAnsi="Trebuchet MS" w:cs="Tahoma"/>
          <w:sz w:val="27"/>
          <w:szCs w:val="27"/>
        </w:rPr>
        <w:t xml:space="preserve">For additional information, please visit: </w:t>
      </w:r>
      <w:hyperlink r:id="rId8" w:history="1">
        <w:r w:rsidRPr="00F4003C">
          <w:rPr>
            <w:rStyle w:val="Hyperlink"/>
            <w:rFonts w:ascii="Trebuchet MS" w:hAnsi="Trebuchet MS" w:cs="Tahoma"/>
            <w:sz w:val="27"/>
            <w:szCs w:val="27"/>
          </w:rPr>
          <w:t>https://www.uaf.edu/ogca/lifecycle/3-develop/agreement-types/</w:t>
        </w:r>
      </w:hyperlink>
    </w:p>
    <w:p w:rsidR="0089177B" w:rsidRPr="00F4003C" w:rsidRDefault="0089177B" w:rsidP="00580D14">
      <w:pPr>
        <w:rPr>
          <w:rFonts w:ascii="Trebuchet MS" w:hAnsi="Trebuchet MS" w:cs="Tahoma"/>
          <w:sz w:val="27"/>
          <w:szCs w:val="27"/>
        </w:rPr>
      </w:pPr>
    </w:p>
    <w:p w:rsidR="006727C2" w:rsidRPr="00F4003C" w:rsidRDefault="006727C2" w:rsidP="006727C2">
      <w:pPr>
        <w:rPr>
          <w:rFonts w:ascii="Trebuchet MS" w:hAnsi="Trebuchet MS" w:cs="Tahoma"/>
          <w:sz w:val="27"/>
          <w:szCs w:val="27"/>
        </w:rPr>
      </w:pPr>
    </w:p>
    <w:sectPr w:rsidR="006727C2" w:rsidRPr="00F40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F019A"/>
    <w:multiLevelType w:val="multilevel"/>
    <w:tmpl w:val="5314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E59C3"/>
    <w:multiLevelType w:val="multilevel"/>
    <w:tmpl w:val="CD188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012D2C"/>
    <w:multiLevelType w:val="multilevel"/>
    <w:tmpl w:val="4006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E7694"/>
    <w:multiLevelType w:val="multilevel"/>
    <w:tmpl w:val="AEA8D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E945DC"/>
    <w:multiLevelType w:val="multilevel"/>
    <w:tmpl w:val="9C20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17"/>
    <w:rsid w:val="00002492"/>
    <w:rsid w:val="00160C9C"/>
    <w:rsid w:val="00185197"/>
    <w:rsid w:val="001E03C0"/>
    <w:rsid w:val="00257A17"/>
    <w:rsid w:val="002D101D"/>
    <w:rsid w:val="0050477E"/>
    <w:rsid w:val="00580D14"/>
    <w:rsid w:val="006727C2"/>
    <w:rsid w:val="007123B3"/>
    <w:rsid w:val="00793988"/>
    <w:rsid w:val="007A28BD"/>
    <w:rsid w:val="0089177B"/>
    <w:rsid w:val="00900D9B"/>
    <w:rsid w:val="00901D62"/>
    <w:rsid w:val="00A52287"/>
    <w:rsid w:val="00B462EA"/>
    <w:rsid w:val="00B74AED"/>
    <w:rsid w:val="00C30DFB"/>
    <w:rsid w:val="00CF260B"/>
    <w:rsid w:val="00E13D47"/>
    <w:rsid w:val="00E6377A"/>
    <w:rsid w:val="00F221FF"/>
    <w:rsid w:val="00F40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2099"/>
  <w15:chartTrackingRefBased/>
  <w15:docId w15:val="{657771AC-546B-46FF-8E7C-9E0CFF3C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03C0"/>
    <w:rPr>
      <w:color w:val="0000FF"/>
      <w:u w:val="single"/>
    </w:rPr>
  </w:style>
  <w:style w:type="paragraph" w:styleId="ListParagraph">
    <w:name w:val="List Paragraph"/>
    <w:basedOn w:val="Normal"/>
    <w:uiPriority w:val="34"/>
    <w:qFormat/>
    <w:rsid w:val="007A28BD"/>
    <w:pPr>
      <w:ind w:left="720"/>
      <w:contextualSpacing/>
    </w:pPr>
  </w:style>
  <w:style w:type="character" w:customStyle="1" w:styleId="UnresolvedMention">
    <w:name w:val="Unresolved Mention"/>
    <w:basedOn w:val="DefaultParagraphFont"/>
    <w:uiPriority w:val="99"/>
    <w:semiHidden/>
    <w:unhideWhenUsed/>
    <w:rsid w:val="00E6377A"/>
    <w:rPr>
      <w:color w:val="605E5C"/>
      <w:shd w:val="clear" w:color="auto" w:fill="E1DFDD"/>
    </w:rPr>
  </w:style>
  <w:style w:type="character" w:styleId="FollowedHyperlink">
    <w:name w:val="FollowedHyperlink"/>
    <w:basedOn w:val="DefaultParagraphFont"/>
    <w:uiPriority w:val="99"/>
    <w:semiHidden/>
    <w:unhideWhenUsed/>
    <w:rsid w:val="00E6377A"/>
    <w:rPr>
      <w:color w:val="954F72" w:themeColor="followedHyperlink"/>
      <w:u w:val="single"/>
    </w:rPr>
  </w:style>
  <w:style w:type="table" w:styleId="TableGrid">
    <w:name w:val="Table Grid"/>
    <w:basedOn w:val="TableNormal"/>
    <w:uiPriority w:val="39"/>
    <w:rsid w:val="00672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727C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938264">
      <w:bodyDiv w:val="1"/>
      <w:marLeft w:val="0"/>
      <w:marRight w:val="0"/>
      <w:marTop w:val="0"/>
      <w:marBottom w:val="0"/>
      <w:divBdr>
        <w:top w:val="none" w:sz="0" w:space="0" w:color="auto"/>
        <w:left w:val="none" w:sz="0" w:space="0" w:color="auto"/>
        <w:bottom w:val="none" w:sz="0" w:space="0" w:color="auto"/>
        <w:right w:val="none" w:sz="0" w:space="0" w:color="auto"/>
      </w:divBdr>
    </w:div>
    <w:div w:id="1116758912">
      <w:bodyDiv w:val="1"/>
      <w:marLeft w:val="0"/>
      <w:marRight w:val="0"/>
      <w:marTop w:val="0"/>
      <w:marBottom w:val="0"/>
      <w:divBdr>
        <w:top w:val="none" w:sz="0" w:space="0" w:color="auto"/>
        <w:left w:val="none" w:sz="0" w:space="0" w:color="auto"/>
        <w:bottom w:val="none" w:sz="0" w:space="0" w:color="auto"/>
        <w:right w:val="none" w:sz="0" w:space="0" w:color="auto"/>
      </w:divBdr>
    </w:div>
    <w:div w:id="1222205415">
      <w:bodyDiv w:val="1"/>
      <w:marLeft w:val="0"/>
      <w:marRight w:val="0"/>
      <w:marTop w:val="0"/>
      <w:marBottom w:val="0"/>
      <w:divBdr>
        <w:top w:val="none" w:sz="0" w:space="0" w:color="auto"/>
        <w:left w:val="none" w:sz="0" w:space="0" w:color="auto"/>
        <w:bottom w:val="none" w:sz="0" w:space="0" w:color="auto"/>
        <w:right w:val="none" w:sz="0" w:space="0" w:color="auto"/>
      </w:divBdr>
    </w:div>
    <w:div w:id="14280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f.edu/ogca/lifecycle/3-develop/agreement-types/" TargetMode="External"/><Relationship Id="rId3" Type="http://schemas.openxmlformats.org/officeDocument/2006/relationships/settings" Target="settings.xml"/><Relationship Id="rId7" Type="http://schemas.openxmlformats.org/officeDocument/2006/relationships/hyperlink" Target="https://www.uaf.edu/ogca/resources/tools-trade/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AF-GCReATE@alaska.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Madnick</dc:creator>
  <cp:keywords/>
  <dc:description/>
  <cp:lastModifiedBy>Natasa Raskovic</cp:lastModifiedBy>
  <cp:revision>4</cp:revision>
  <cp:lastPrinted>2019-10-18T18:41:00Z</cp:lastPrinted>
  <dcterms:created xsi:type="dcterms:W3CDTF">2020-10-25T23:07:00Z</dcterms:created>
  <dcterms:modified xsi:type="dcterms:W3CDTF">2020-11-17T17:22:00Z</dcterms:modified>
</cp:coreProperties>
</file>