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50" w:rsidRPr="00EA59F7" w:rsidRDefault="00456950">
      <w:pPr>
        <w:pStyle w:val="Heading1"/>
        <w:jc w:val="center"/>
        <w:rPr>
          <w:sz w:val="22"/>
          <w:szCs w:val="22"/>
        </w:rPr>
      </w:pPr>
      <w:bookmarkStart w:id="0" w:name="_GoBack"/>
      <w:bookmarkEnd w:id="0"/>
      <w:r w:rsidRPr="00EA59F7">
        <w:rPr>
          <w:sz w:val="22"/>
          <w:szCs w:val="22"/>
        </w:rPr>
        <w:t>Sample Budget Justification</w:t>
      </w:r>
    </w:p>
    <w:p w:rsidR="00456950" w:rsidRPr="00EA59F7" w:rsidRDefault="00456950">
      <w:pPr>
        <w:rPr>
          <w:sz w:val="22"/>
          <w:szCs w:val="22"/>
        </w:rPr>
      </w:pPr>
    </w:p>
    <w:p w:rsidR="00456950" w:rsidRPr="00EA59F7" w:rsidRDefault="00CA776F" w:rsidP="008902B0">
      <w:pPr>
        <w:jc w:val="both"/>
        <w:rPr>
          <w:i/>
          <w:iCs/>
          <w:sz w:val="22"/>
          <w:szCs w:val="22"/>
        </w:rPr>
      </w:pPr>
      <w:r w:rsidRPr="00EA59F7">
        <w:rPr>
          <w:i/>
          <w:iCs/>
          <w:sz w:val="22"/>
          <w:szCs w:val="22"/>
        </w:rPr>
        <w:t>Use the same</w:t>
      </w:r>
      <w:r w:rsidR="00456950" w:rsidRPr="00EA59F7">
        <w:rPr>
          <w:i/>
          <w:iCs/>
          <w:sz w:val="22"/>
          <w:szCs w:val="22"/>
        </w:rPr>
        <w:t xml:space="preserve"> cost cat</w:t>
      </w:r>
      <w:r w:rsidR="004F2FBD" w:rsidRPr="00EA59F7">
        <w:rPr>
          <w:i/>
          <w:iCs/>
          <w:sz w:val="22"/>
          <w:szCs w:val="22"/>
        </w:rPr>
        <w:t xml:space="preserve">egories that the funding agency </w:t>
      </w:r>
      <w:r w:rsidR="00456950" w:rsidRPr="00EA59F7">
        <w:rPr>
          <w:i/>
          <w:iCs/>
          <w:sz w:val="22"/>
          <w:szCs w:val="22"/>
        </w:rPr>
        <w:t xml:space="preserve">uses. </w:t>
      </w:r>
      <w:r w:rsidRPr="00EA59F7">
        <w:rPr>
          <w:i/>
          <w:iCs/>
          <w:sz w:val="22"/>
          <w:szCs w:val="22"/>
        </w:rPr>
        <w:t xml:space="preserve">This example uses </w:t>
      </w:r>
      <w:r w:rsidR="00456950" w:rsidRPr="00EA59F7">
        <w:rPr>
          <w:i/>
          <w:iCs/>
          <w:sz w:val="22"/>
          <w:szCs w:val="22"/>
        </w:rPr>
        <w:t>the National Science Foundation’s cost categories.</w:t>
      </w:r>
    </w:p>
    <w:p w:rsidR="00456950" w:rsidRPr="00EA59F7" w:rsidRDefault="00456950">
      <w:pPr>
        <w:jc w:val="both"/>
        <w:rPr>
          <w:sz w:val="22"/>
          <w:szCs w:val="22"/>
        </w:rPr>
      </w:pPr>
    </w:p>
    <w:p w:rsidR="00456950" w:rsidRPr="00EA59F7" w:rsidRDefault="00456950">
      <w:pPr>
        <w:jc w:val="both"/>
        <w:rPr>
          <w:sz w:val="22"/>
          <w:szCs w:val="22"/>
        </w:rPr>
      </w:pPr>
      <w:r w:rsidRPr="00EA59F7">
        <w:rPr>
          <w:sz w:val="22"/>
          <w:szCs w:val="22"/>
          <w:u w:val="single"/>
        </w:rPr>
        <w:t>Salaries</w:t>
      </w:r>
      <w:r w:rsidRPr="00EA59F7">
        <w:rPr>
          <w:sz w:val="22"/>
          <w:szCs w:val="22"/>
        </w:rPr>
        <w:t>:</w:t>
      </w:r>
    </w:p>
    <w:p w:rsidR="00456950" w:rsidRPr="00EA59F7" w:rsidRDefault="00456950">
      <w:pPr>
        <w:pStyle w:val="BodyText"/>
        <w:ind w:firstLine="720"/>
        <w:rPr>
          <w:sz w:val="22"/>
          <w:szCs w:val="22"/>
        </w:rPr>
      </w:pPr>
      <w:r w:rsidRPr="00EA59F7">
        <w:rPr>
          <w:sz w:val="22"/>
          <w:szCs w:val="22"/>
        </w:rPr>
        <w:t xml:space="preserve">2.0 mos. per year </w:t>
      </w:r>
      <w:r w:rsidR="0055594D" w:rsidRPr="00EA59F7">
        <w:rPr>
          <w:sz w:val="22"/>
          <w:szCs w:val="22"/>
        </w:rPr>
        <w:t xml:space="preserve">(348 hours </w:t>
      </w:r>
      <w:r w:rsidRPr="00EA59F7">
        <w:rPr>
          <w:sz w:val="22"/>
          <w:szCs w:val="22"/>
        </w:rPr>
        <w:t xml:space="preserve">at </w:t>
      </w:r>
      <w:r w:rsidRPr="00EA59F7">
        <w:rPr>
          <w:b/>
          <w:bCs/>
          <w:sz w:val="22"/>
          <w:szCs w:val="22"/>
        </w:rPr>
        <w:t>*</w:t>
      </w:r>
      <w:r w:rsidRPr="00EA59F7">
        <w:rPr>
          <w:sz w:val="22"/>
          <w:szCs w:val="22"/>
        </w:rPr>
        <w:t>$xx/</w:t>
      </w:r>
      <w:r w:rsidR="0055594D" w:rsidRPr="00EA59F7">
        <w:rPr>
          <w:sz w:val="22"/>
          <w:szCs w:val="22"/>
        </w:rPr>
        <w:t>hour) is requested for the PI</w:t>
      </w:r>
      <w:r w:rsidRPr="00EA59F7">
        <w:rPr>
          <w:sz w:val="22"/>
          <w:szCs w:val="22"/>
        </w:rPr>
        <w:t xml:space="preserve"> to administer the project</w:t>
      </w:r>
      <w:r w:rsidR="0055594D" w:rsidRPr="00EA59F7">
        <w:rPr>
          <w:sz w:val="22"/>
          <w:szCs w:val="22"/>
        </w:rPr>
        <w:t>,</w:t>
      </w:r>
      <w:r w:rsidRPr="00EA59F7">
        <w:rPr>
          <w:sz w:val="22"/>
          <w:szCs w:val="22"/>
        </w:rPr>
        <w:t xml:space="preserve"> and 1.0 mo. per y</w:t>
      </w:r>
      <w:r w:rsidR="00577E96" w:rsidRPr="00EA59F7">
        <w:rPr>
          <w:sz w:val="22"/>
          <w:szCs w:val="22"/>
        </w:rPr>
        <w:t xml:space="preserve">ear </w:t>
      </w:r>
      <w:r w:rsidR="0055594D" w:rsidRPr="00EA59F7">
        <w:rPr>
          <w:sz w:val="22"/>
          <w:szCs w:val="22"/>
        </w:rPr>
        <w:t xml:space="preserve">(174 hours at </w:t>
      </w:r>
      <w:r w:rsidRPr="00EA59F7">
        <w:rPr>
          <w:b/>
          <w:bCs/>
          <w:sz w:val="22"/>
          <w:szCs w:val="22"/>
        </w:rPr>
        <w:t>*</w:t>
      </w:r>
      <w:r w:rsidRPr="00EA59F7">
        <w:rPr>
          <w:sz w:val="22"/>
          <w:szCs w:val="22"/>
        </w:rPr>
        <w:t>$xx/</w:t>
      </w:r>
      <w:r w:rsidR="0055594D" w:rsidRPr="00EA59F7">
        <w:rPr>
          <w:sz w:val="22"/>
          <w:szCs w:val="22"/>
        </w:rPr>
        <w:t>hour) is requested for the Co-I</w:t>
      </w:r>
      <w:r w:rsidRPr="00EA59F7">
        <w:rPr>
          <w:sz w:val="22"/>
          <w:szCs w:val="22"/>
        </w:rPr>
        <w:t xml:space="preserve"> to conduct the fieldwork</w:t>
      </w:r>
      <w:r w:rsidR="0055594D" w:rsidRPr="00EA59F7">
        <w:rPr>
          <w:sz w:val="22"/>
          <w:szCs w:val="22"/>
        </w:rPr>
        <w:t xml:space="preserve">. </w:t>
      </w:r>
      <w:r w:rsidRPr="00EA59F7">
        <w:rPr>
          <w:sz w:val="22"/>
          <w:szCs w:val="22"/>
        </w:rPr>
        <w:t>Support is also budg</w:t>
      </w:r>
      <w:r w:rsidR="00CA776F" w:rsidRPr="00EA59F7">
        <w:rPr>
          <w:sz w:val="22"/>
          <w:szCs w:val="22"/>
        </w:rPr>
        <w:t>eted for 2 graduate students (</w:t>
      </w:r>
      <w:r w:rsidRPr="00EA59F7">
        <w:rPr>
          <w:sz w:val="22"/>
          <w:szCs w:val="22"/>
        </w:rPr>
        <w:t>academic ye</w:t>
      </w:r>
      <w:r w:rsidR="004F2FBD" w:rsidRPr="00EA59F7">
        <w:rPr>
          <w:sz w:val="22"/>
          <w:szCs w:val="22"/>
        </w:rPr>
        <w:t>ar and summer</w:t>
      </w:r>
      <w:r w:rsidRPr="00EA59F7">
        <w:rPr>
          <w:sz w:val="22"/>
          <w:szCs w:val="22"/>
        </w:rPr>
        <w:t xml:space="preserve">) to assist in compiling the data. </w:t>
      </w:r>
      <w:r w:rsidR="00FC28A9" w:rsidRPr="00EA59F7">
        <w:rPr>
          <w:sz w:val="22"/>
          <w:szCs w:val="22"/>
        </w:rPr>
        <w:t>A leave reserve of 1.4% is included for faculty salaries, .8% for first and second year postdocs, 20.7% for professionals, 21.8% for crafts and trade employees, 15.6% for executive management, 19.9% for extended temporary staff, and 22.5% for support (classified) staff. Salaries are listed at the FY15 rate and include a 2.0% inflation increase for faculty, professionals, staff, and adjunct faculty, and 2.33% for crafts and trade employees each year.</w:t>
      </w:r>
    </w:p>
    <w:p w:rsidR="00456950" w:rsidRPr="00EA59F7" w:rsidRDefault="00456950">
      <w:pPr>
        <w:pStyle w:val="BodyText"/>
        <w:rPr>
          <w:sz w:val="22"/>
          <w:szCs w:val="22"/>
        </w:rPr>
      </w:pPr>
    </w:p>
    <w:p w:rsidR="00456950" w:rsidRPr="00EA59F7" w:rsidRDefault="00456950">
      <w:pPr>
        <w:pStyle w:val="BodyText"/>
        <w:rPr>
          <w:b/>
          <w:bCs/>
          <w:sz w:val="22"/>
          <w:szCs w:val="22"/>
        </w:rPr>
      </w:pPr>
      <w:r w:rsidRPr="00EA59F7">
        <w:rPr>
          <w:b/>
          <w:bCs/>
          <w:sz w:val="22"/>
          <w:szCs w:val="22"/>
        </w:rPr>
        <w:t>*(</w:t>
      </w:r>
      <w:r w:rsidR="0075415E" w:rsidRPr="0075415E">
        <w:rPr>
          <w:sz w:val="22"/>
          <w:szCs w:val="22"/>
        </w:rPr>
        <w:t xml:space="preserve"> </w:t>
      </w:r>
      <w:r w:rsidR="0075415E">
        <w:rPr>
          <w:sz w:val="22"/>
          <w:szCs w:val="22"/>
        </w:rPr>
        <w:t>OGCA Pre-award</w:t>
      </w:r>
      <w:r w:rsidRPr="00EA59F7">
        <w:rPr>
          <w:b/>
          <w:bCs/>
          <w:sz w:val="22"/>
          <w:szCs w:val="22"/>
        </w:rPr>
        <w:t>: Per NSF’s Grant Proposal Guide, Section C.2.g.(</w:t>
      </w:r>
      <w:proofErr w:type="spellStart"/>
      <w:r w:rsidRPr="00EA59F7">
        <w:rPr>
          <w:b/>
          <w:bCs/>
          <w:sz w:val="22"/>
          <w:szCs w:val="22"/>
        </w:rPr>
        <w:t>i</w:t>
      </w:r>
      <w:proofErr w:type="spellEnd"/>
      <w:r w:rsidRPr="00EA59F7">
        <w:rPr>
          <w:b/>
          <w:bCs/>
          <w:sz w:val="22"/>
          <w:szCs w:val="22"/>
        </w:rPr>
        <w:t>)(b) – Salaries &amp; Wages, Procedures: “The budget justification should detail the rates of pay by individual for senior personnel, postdoctoral associates, and other professionals.”)</w:t>
      </w:r>
      <w:r w:rsidR="00E25D20" w:rsidRPr="00EA59F7">
        <w:rPr>
          <w:b/>
          <w:bCs/>
          <w:sz w:val="22"/>
          <w:szCs w:val="22"/>
        </w:rPr>
        <w:t xml:space="preserve"> You can use hourly/monthly/bi-weekly/etc.</w:t>
      </w:r>
    </w:p>
    <w:p w:rsidR="00456950" w:rsidRPr="00EA59F7" w:rsidRDefault="00456950">
      <w:pPr>
        <w:jc w:val="both"/>
        <w:rPr>
          <w:sz w:val="22"/>
          <w:szCs w:val="22"/>
        </w:rPr>
      </w:pPr>
    </w:p>
    <w:p w:rsidR="00456950" w:rsidRPr="00EA59F7" w:rsidRDefault="00456950">
      <w:pPr>
        <w:jc w:val="both"/>
        <w:rPr>
          <w:sz w:val="22"/>
          <w:szCs w:val="22"/>
        </w:rPr>
      </w:pPr>
      <w:r w:rsidRPr="00EA59F7">
        <w:rPr>
          <w:sz w:val="22"/>
          <w:szCs w:val="22"/>
          <w:u w:val="single"/>
        </w:rPr>
        <w:t>Benefits</w:t>
      </w:r>
      <w:r w:rsidRPr="00EA59F7">
        <w:rPr>
          <w:sz w:val="22"/>
          <w:szCs w:val="22"/>
        </w:rPr>
        <w:t>:</w:t>
      </w:r>
    </w:p>
    <w:p w:rsidR="00B43F46" w:rsidRPr="00EA59F7" w:rsidRDefault="00FC28A9" w:rsidP="00B43F46">
      <w:pPr>
        <w:ind w:firstLine="720"/>
        <w:jc w:val="both"/>
        <w:rPr>
          <w:sz w:val="22"/>
          <w:szCs w:val="22"/>
        </w:rPr>
      </w:pPr>
      <w:r w:rsidRPr="00EA59F7">
        <w:rPr>
          <w:sz w:val="22"/>
          <w:szCs w:val="22"/>
        </w:rPr>
        <w:t xml:space="preserve">Staff benefits are applied according to UAF’s negotiated FY15 fixed fringe benefit rates. Rates are 27.5% for faculty salaries, 27.6% for first and second year postdocs, 38.8% for professionals, 47.6% for crafts and trade employees, 27.6% for executive management, 43% for support (classified) staff, 9.6% for adjunct faculty, 22.8% for extended temporary staff, and 8.6% for temporary staff and students (summers only for graduate students). $2,056 per year ($750 for </w:t>
      </w:r>
      <w:proofErr w:type="gramStart"/>
      <w:r w:rsidRPr="00EA59F7">
        <w:rPr>
          <w:sz w:val="22"/>
          <w:szCs w:val="22"/>
        </w:rPr>
        <w:t>Fall</w:t>
      </w:r>
      <w:proofErr w:type="gramEnd"/>
      <w:r w:rsidRPr="00EA59F7">
        <w:rPr>
          <w:sz w:val="22"/>
          <w:szCs w:val="22"/>
        </w:rPr>
        <w:t xml:space="preserve"> semester and $1,306 for Spring and Summer) is also included for graduate student health care, with a 7.0% inflation increase per year.  A copy of the rate agreement is available at </w:t>
      </w:r>
      <w:hyperlink r:id="rId8" w:history="1">
        <w:r w:rsidRPr="00EA59F7">
          <w:rPr>
            <w:rStyle w:val="Hyperlink"/>
            <w:sz w:val="22"/>
            <w:szCs w:val="22"/>
          </w:rPr>
          <w:t>http://www.alaska.edu/cost-analysis/negotiation-agreements/</w:t>
        </w:r>
      </w:hyperlink>
      <w:r w:rsidRPr="00EA59F7">
        <w:rPr>
          <w:sz w:val="22"/>
          <w:szCs w:val="22"/>
        </w:rPr>
        <w:t>.</w:t>
      </w:r>
    </w:p>
    <w:p w:rsidR="005160B0" w:rsidRPr="00EA59F7" w:rsidRDefault="005160B0" w:rsidP="00B43F46">
      <w:pPr>
        <w:ind w:firstLine="720"/>
        <w:jc w:val="both"/>
        <w:rPr>
          <w:sz w:val="22"/>
          <w:szCs w:val="22"/>
        </w:rPr>
      </w:pPr>
    </w:p>
    <w:p w:rsidR="00456950" w:rsidRPr="00EA59F7" w:rsidRDefault="00456950">
      <w:pPr>
        <w:jc w:val="both"/>
        <w:rPr>
          <w:sz w:val="22"/>
          <w:szCs w:val="22"/>
        </w:rPr>
      </w:pPr>
      <w:r w:rsidRPr="00EA59F7">
        <w:rPr>
          <w:sz w:val="22"/>
          <w:szCs w:val="22"/>
          <w:u w:val="single"/>
        </w:rPr>
        <w:t>Travel</w:t>
      </w:r>
      <w:r w:rsidRPr="00EA59F7">
        <w:rPr>
          <w:sz w:val="22"/>
          <w:szCs w:val="22"/>
        </w:rPr>
        <w:t>:</w:t>
      </w:r>
    </w:p>
    <w:p w:rsidR="00456950" w:rsidRPr="00EA59F7" w:rsidRDefault="00456950">
      <w:pPr>
        <w:jc w:val="both"/>
        <w:rPr>
          <w:sz w:val="22"/>
          <w:szCs w:val="22"/>
        </w:rPr>
      </w:pPr>
      <w:r w:rsidRPr="00EA59F7">
        <w:rPr>
          <w:i/>
          <w:iCs/>
          <w:sz w:val="22"/>
          <w:szCs w:val="22"/>
        </w:rPr>
        <w:t>Domestic:</w:t>
      </w:r>
      <w:r w:rsidRPr="00EA59F7">
        <w:rPr>
          <w:sz w:val="22"/>
          <w:szCs w:val="22"/>
        </w:rPr>
        <w:t xml:space="preserve"> 2 trips per year are requested for the PI and Co-I to </w:t>
      </w:r>
      <w:r w:rsidR="00907AFE" w:rsidRPr="00EA59F7">
        <w:rPr>
          <w:sz w:val="22"/>
          <w:szCs w:val="22"/>
        </w:rPr>
        <w:t xml:space="preserve">travel from Fairbanks to </w:t>
      </w:r>
      <w:r w:rsidRPr="00EA59F7">
        <w:rPr>
          <w:sz w:val="22"/>
          <w:szCs w:val="22"/>
        </w:rPr>
        <w:t xml:space="preserve">Nome, AK to conduct fieldwork. 1 trip is budgeted per year to </w:t>
      </w:r>
      <w:r w:rsidR="00907AFE" w:rsidRPr="00EA59F7">
        <w:rPr>
          <w:sz w:val="22"/>
          <w:szCs w:val="22"/>
        </w:rPr>
        <w:t xml:space="preserve">travel to </w:t>
      </w:r>
      <w:r w:rsidRPr="00EA59F7">
        <w:rPr>
          <w:sz w:val="22"/>
          <w:szCs w:val="22"/>
        </w:rPr>
        <w:t xml:space="preserve">San Francisco, CA for the PI to meet with collaborators. </w:t>
      </w:r>
      <w:r w:rsidR="00907AFE" w:rsidRPr="00EA59F7">
        <w:rPr>
          <w:sz w:val="22"/>
          <w:szCs w:val="22"/>
        </w:rPr>
        <w:t xml:space="preserve">1 trip is budgeted in Year 1 to travel to Anchorage, AK for a conference. </w:t>
      </w:r>
      <w:r w:rsidRPr="00EA59F7">
        <w:rPr>
          <w:sz w:val="22"/>
          <w:szCs w:val="22"/>
        </w:rPr>
        <w:t xml:space="preserve">Per </w:t>
      </w:r>
      <w:proofErr w:type="gramStart"/>
      <w:r w:rsidRPr="00EA59F7">
        <w:rPr>
          <w:sz w:val="22"/>
          <w:szCs w:val="22"/>
        </w:rPr>
        <w:t>diem</w:t>
      </w:r>
      <w:proofErr w:type="gramEnd"/>
      <w:r w:rsidRPr="00EA59F7">
        <w:rPr>
          <w:sz w:val="22"/>
          <w:szCs w:val="22"/>
        </w:rPr>
        <w:t xml:space="preserve"> (meals/incidentals/lodging) is </w:t>
      </w:r>
      <w:r w:rsidR="0033457D" w:rsidRPr="00EA59F7">
        <w:rPr>
          <w:sz w:val="22"/>
          <w:szCs w:val="22"/>
        </w:rPr>
        <w:t xml:space="preserve">budgeted at 7 days at </w:t>
      </w:r>
      <w:r w:rsidRPr="00EA59F7">
        <w:rPr>
          <w:sz w:val="22"/>
          <w:szCs w:val="22"/>
        </w:rPr>
        <w:t>$</w:t>
      </w:r>
      <w:r w:rsidR="00907AFE" w:rsidRPr="00EA59F7">
        <w:rPr>
          <w:sz w:val="22"/>
          <w:szCs w:val="22"/>
        </w:rPr>
        <w:t>282</w:t>
      </w:r>
      <w:r w:rsidRPr="00EA59F7">
        <w:rPr>
          <w:sz w:val="22"/>
          <w:szCs w:val="22"/>
        </w:rPr>
        <w:t xml:space="preserve">/day for Nome and </w:t>
      </w:r>
      <w:r w:rsidR="0033457D" w:rsidRPr="00EA59F7">
        <w:rPr>
          <w:sz w:val="22"/>
          <w:szCs w:val="22"/>
        </w:rPr>
        <w:t xml:space="preserve">5 days at </w:t>
      </w:r>
      <w:r w:rsidRPr="00EA59F7">
        <w:rPr>
          <w:sz w:val="22"/>
          <w:szCs w:val="22"/>
        </w:rPr>
        <w:t>$</w:t>
      </w:r>
      <w:r w:rsidR="00907AFE" w:rsidRPr="00EA59F7">
        <w:rPr>
          <w:sz w:val="22"/>
          <w:szCs w:val="22"/>
        </w:rPr>
        <w:t>226</w:t>
      </w:r>
      <w:r w:rsidRPr="00EA59F7">
        <w:rPr>
          <w:sz w:val="22"/>
          <w:szCs w:val="22"/>
        </w:rPr>
        <w:t xml:space="preserve">/day for San Francisco in accordance with GSA/JTR Regulations. </w:t>
      </w:r>
      <w:r w:rsidR="00907AFE" w:rsidRPr="00EA59F7">
        <w:rPr>
          <w:sz w:val="22"/>
          <w:szCs w:val="22"/>
        </w:rPr>
        <w:t xml:space="preserve">Per </w:t>
      </w:r>
      <w:proofErr w:type="gramStart"/>
      <w:r w:rsidR="00907AFE" w:rsidRPr="00EA59F7">
        <w:rPr>
          <w:sz w:val="22"/>
          <w:szCs w:val="22"/>
        </w:rPr>
        <w:t>diem</w:t>
      </w:r>
      <w:proofErr w:type="gramEnd"/>
      <w:r w:rsidR="00907AFE" w:rsidRPr="00EA59F7">
        <w:rPr>
          <w:sz w:val="22"/>
          <w:szCs w:val="22"/>
        </w:rPr>
        <w:t xml:space="preserve"> in Anchorage is </w:t>
      </w:r>
      <w:r w:rsidR="0033457D" w:rsidRPr="00EA59F7">
        <w:rPr>
          <w:sz w:val="22"/>
          <w:szCs w:val="22"/>
        </w:rPr>
        <w:t xml:space="preserve">3 days at </w:t>
      </w:r>
      <w:r w:rsidR="00907AFE" w:rsidRPr="00EA59F7">
        <w:rPr>
          <w:sz w:val="22"/>
          <w:szCs w:val="22"/>
        </w:rPr>
        <w:t>$159</w:t>
      </w:r>
      <w:r w:rsidR="0033457D" w:rsidRPr="00EA59F7">
        <w:rPr>
          <w:sz w:val="22"/>
          <w:szCs w:val="22"/>
        </w:rPr>
        <w:t>/day</w:t>
      </w:r>
      <w:r w:rsidR="00907AFE" w:rsidRPr="00EA59F7">
        <w:rPr>
          <w:sz w:val="22"/>
          <w:szCs w:val="22"/>
        </w:rPr>
        <w:t xml:space="preserve"> per UA Board of Regents regulations. </w:t>
      </w:r>
      <w:r w:rsidRPr="00EA59F7">
        <w:rPr>
          <w:sz w:val="22"/>
          <w:szCs w:val="22"/>
        </w:rPr>
        <w:t>Car rental is budget in San Francisco at $50/day.</w:t>
      </w:r>
    </w:p>
    <w:p w:rsidR="00456950" w:rsidRPr="00EA59F7" w:rsidRDefault="00456950">
      <w:pPr>
        <w:jc w:val="both"/>
        <w:rPr>
          <w:sz w:val="22"/>
          <w:szCs w:val="22"/>
        </w:rPr>
      </w:pPr>
    </w:p>
    <w:p w:rsidR="00456950" w:rsidRPr="00EA59F7" w:rsidRDefault="00456950">
      <w:pPr>
        <w:jc w:val="both"/>
        <w:rPr>
          <w:sz w:val="22"/>
          <w:szCs w:val="22"/>
        </w:rPr>
      </w:pPr>
      <w:r w:rsidRPr="00EA59F7">
        <w:rPr>
          <w:i/>
          <w:iCs/>
          <w:sz w:val="22"/>
          <w:szCs w:val="22"/>
        </w:rPr>
        <w:t xml:space="preserve">Foreign: </w:t>
      </w:r>
      <w:r w:rsidRPr="00EA59F7">
        <w:rPr>
          <w:sz w:val="22"/>
          <w:szCs w:val="22"/>
        </w:rPr>
        <w:t>1 trip in Year 2 is budgeted for the Co-I to travel to Tokyo</w:t>
      </w:r>
      <w:r w:rsidR="00907AFE" w:rsidRPr="00EA59F7">
        <w:rPr>
          <w:sz w:val="22"/>
          <w:szCs w:val="22"/>
        </w:rPr>
        <w:t xml:space="preserve"> City</w:t>
      </w:r>
      <w:r w:rsidRPr="00EA59F7">
        <w:rPr>
          <w:sz w:val="22"/>
          <w:szCs w:val="22"/>
        </w:rPr>
        <w:t xml:space="preserve">, Japan to meet with collaborators and discuss findings. Per </w:t>
      </w:r>
      <w:proofErr w:type="gramStart"/>
      <w:r w:rsidRPr="00EA59F7">
        <w:rPr>
          <w:sz w:val="22"/>
          <w:szCs w:val="22"/>
        </w:rPr>
        <w:t>diem</w:t>
      </w:r>
      <w:proofErr w:type="gramEnd"/>
      <w:r w:rsidRPr="00EA59F7">
        <w:rPr>
          <w:sz w:val="22"/>
          <w:szCs w:val="22"/>
        </w:rPr>
        <w:t xml:space="preserve"> is $</w:t>
      </w:r>
      <w:r w:rsidR="00907AFE" w:rsidRPr="00EA59F7">
        <w:rPr>
          <w:sz w:val="22"/>
          <w:szCs w:val="22"/>
        </w:rPr>
        <w:t>404</w:t>
      </w:r>
      <w:r w:rsidRPr="00EA59F7">
        <w:rPr>
          <w:sz w:val="22"/>
          <w:szCs w:val="22"/>
        </w:rPr>
        <w:t xml:space="preserve"> in accordance with JTR Regulations. Transportation to and from the airport is budgeted at $40/trip.</w:t>
      </w:r>
    </w:p>
    <w:p w:rsidR="00456950" w:rsidRPr="00EA59F7" w:rsidRDefault="00456950">
      <w:pPr>
        <w:jc w:val="both"/>
        <w:rPr>
          <w:sz w:val="22"/>
          <w:szCs w:val="22"/>
        </w:rPr>
      </w:pPr>
    </w:p>
    <w:p w:rsidR="00456950" w:rsidRPr="00EA59F7" w:rsidRDefault="00456950">
      <w:pPr>
        <w:pStyle w:val="BodyText2"/>
        <w:rPr>
          <w:sz w:val="22"/>
          <w:szCs w:val="22"/>
        </w:rPr>
      </w:pPr>
      <w:r w:rsidRPr="00EA59F7">
        <w:rPr>
          <w:sz w:val="22"/>
          <w:szCs w:val="22"/>
        </w:rPr>
        <w:t>(</w:t>
      </w:r>
      <w:r w:rsidR="0075415E">
        <w:rPr>
          <w:sz w:val="22"/>
          <w:szCs w:val="22"/>
        </w:rPr>
        <w:t>OGCA Pre-award</w:t>
      </w:r>
      <w:r w:rsidRPr="00EA59F7">
        <w:rPr>
          <w:sz w:val="22"/>
          <w:szCs w:val="22"/>
        </w:rPr>
        <w:t xml:space="preserve"> Note: Travel includes airfare charges, transportation charges, per diem, and can also include extra bag charges, and related conference fees/meeting registration charges</w:t>
      </w:r>
      <w:r w:rsidR="0033457D" w:rsidRPr="00EA59F7">
        <w:rPr>
          <w:sz w:val="22"/>
          <w:szCs w:val="22"/>
        </w:rPr>
        <w:t>, depending on how these charges are processed at the departmental level</w:t>
      </w:r>
      <w:r w:rsidRPr="00EA59F7">
        <w:rPr>
          <w:sz w:val="22"/>
          <w:szCs w:val="22"/>
        </w:rPr>
        <w:t>.</w:t>
      </w:r>
      <w:r w:rsidR="005160B0" w:rsidRPr="00EA59F7">
        <w:rPr>
          <w:sz w:val="22"/>
          <w:szCs w:val="22"/>
        </w:rPr>
        <w:t xml:space="preserve"> Lodging and per diem rates can be found at </w:t>
      </w:r>
      <w:hyperlink r:id="rId9" w:history="1">
        <w:r w:rsidR="005160B0" w:rsidRPr="00EA59F7">
          <w:rPr>
            <w:rStyle w:val="Hyperlink"/>
            <w:sz w:val="22"/>
            <w:szCs w:val="22"/>
          </w:rPr>
          <w:t>http://www.defensetravel.dod.mil/site/perdiemCalc.cfm</w:t>
        </w:r>
      </w:hyperlink>
      <w:r w:rsidR="005160B0" w:rsidRPr="00EA59F7">
        <w:rPr>
          <w:sz w:val="22"/>
          <w:szCs w:val="22"/>
        </w:rPr>
        <w:t>, with the exception of Alaska in-state meals and incidentals</w:t>
      </w:r>
      <w:r w:rsidR="0055594D" w:rsidRPr="00EA59F7">
        <w:rPr>
          <w:sz w:val="22"/>
          <w:szCs w:val="22"/>
        </w:rPr>
        <w:t xml:space="preserve"> in Juneau, Fairbanks, or Anchorage</w:t>
      </w:r>
      <w:r w:rsidR="005160B0" w:rsidRPr="00EA59F7">
        <w:rPr>
          <w:sz w:val="22"/>
          <w:szCs w:val="22"/>
        </w:rPr>
        <w:t xml:space="preserve"> which are set by the Board of Regents at $</w:t>
      </w:r>
      <w:r w:rsidR="0055594D" w:rsidRPr="00EA59F7">
        <w:rPr>
          <w:sz w:val="22"/>
          <w:szCs w:val="22"/>
        </w:rPr>
        <w:t>60</w:t>
      </w:r>
      <w:r w:rsidR="005160B0" w:rsidRPr="00EA59F7">
        <w:rPr>
          <w:sz w:val="22"/>
          <w:szCs w:val="22"/>
        </w:rPr>
        <w:t>/day</w:t>
      </w:r>
      <w:r w:rsidR="0055594D" w:rsidRPr="00EA59F7">
        <w:rPr>
          <w:sz w:val="22"/>
          <w:szCs w:val="22"/>
        </w:rPr>
        <w:t>.</w:t>
      </w:r>
      <w:r w:rsidRPr="00EA59F7">
        <w:rPr>
          <w:sz w:val="22"/>
          <w:szCs w:val="22"/>
        </w:rPr>
        <w:t>)</w:t>
      </w:r>
    </w:p>
    <w:p w:rsidR="00456950" w:rsidRPr="00EA59F7" w:rsidRDefault="00456950">
      <w:pPr>
        <w:jc w:val="both"/>
        <w:rPr>
          <w:sz w:val="22"/>
          <w:szCs w:val="22"/>
        </w:rPr>
      </w:pPr>
    </w:p>
    <w:p w:rsidR="00456950" w:rsidRPr="00EA59F7" w:rsidRDefault="00456950">
      <w:pPr>
        <w:jc w:val="both"/>
        <w:rPr>
          <w:sz w:val="22"/>
          <w:szCs w:val="22"/>
        </w:rPr>
      </w:pPr>
      <w:r w:rsidRPr="00EA59F7">
        <w:rPr>
          <w:sz w:val="22"/>
          <w:szCs w:val="22"/>
          <w:u w:val="single"/>
        </w:rPr>
        <w:t>Equipment</w:t>
      </w:r>
      <w:r w:rsidRPr="00EA59F7">
        <w:rPr>
          <w:sz w:val="22"/>
          <w:szCs w:val="22"/>
        </w:rPr>
        <w:t>:</w:t>
      </w:r>
    </w:p>
    <w:p w:rsidR="00456950" w:rsidRPr="00EA59F7" w:rsidRDefault="00456950">
      <w:pPr>
        <w:jc w:val="both"/>
        <w:rPr>
          <w:sz w:val="22"/>
          <w:szCs w:val="22"/>
        </w:rPr>
      </w:pPr>
      <w:r w:rsidRPr="00EA59F7">
        <w:rPr>
          <w:sz w:val="22"/>
          <w:szCs w:val="22"/>
        </w:rPr>
        <w:tab/>
        <w:t>Funds are requested to purchase a scanning electron microscope ($5,500, quote attached) to analyze the samples collected during fieldwork.</w:t>
      </w:r>
    </w:p>
    <w:p w:rsidR="00456950" w:rsidRPr="00EA59F7" w:rsidRDefault="00456950">
      <w:pPr>
        <w:jc w:val="both"/>
        <w:rPr>
          <w:sz w:val="22"/>
          <w:szCs w:val="22"/>
        </w:rPr>
      </w:pPr>
    </w:p>
    <w:p w:rsidR="00456950" w:rsidRPr="00EA59F7" w:rsidRDefault="00456950">
      <w:pPr>
        <w:pStyle w:val="BodyText2"/>
        <w:rPr>
          <w:sz w:val="22"/>
          <w:szCs w:val="22"/>
        </w:rPr>
      </w:pPr>
      <w:r w:rsidRPr="00EA59F7">
        <w:rPr>
          <w:sz w:val="22"/>
          <w:szCs w:val="22"/>
        </w:rPr>
        <w:t>(</w:t>
      </w:r>
      <w:r w:rsidR="0075415E">
        <w:rPr>
          <w:sz w:val="22"/>
          <w:szCs w:val="22"/>
        </w:rPr>
        <w:t>OGCA Pre-award</w:t>
      </w:r>
      <w:r w:rsidRPr="00EA59F7">
        <w:rPr>
          <w:sz w:val="22"/>
          <w:szCs w:val="22"/>
        </w:rPr>
        <w:t xml:space="preserve"> Note: </w:t>
      </w:r>
      <w:r w:rsidR="007E2AF1" w:rsidRPr="00EA59F7">
        <w:rPr>
          <w:sz w:val="22"/>
          <w:szCs w:val="22"/>
        </w:rPr>
        <w:t>The equipment</w:t>
      </w:r>
      <w:r w:rsidRPr="00EA59F7">
        <w:rPr>
          <w:sz w:val="22"/>
          <w:szCs w:val="22"/>
        </w:rPr>
        <w:t xml:space="preserve"> threshold is </w:t>
      </w:r>
      <w:r w:rsidR="007E2AF1" w:rsidRPr="00EA59F7">
        <w:rPr>
          <w:sz w:val="22"/>
          <w:szCs w:val="22"/>
        </w:rPr>
        <w:t>$5</w:t>
      </w:r>
      <w:r w:rsidRPr="00EA59F7">
        <w:rPr>
          <w:sz w:val="22"/>
          <w:szCs w:val="22"/>
        </w:rPr>
        <w:t>,000</w:t>
      </w:r>
      <w:r w:rsidR="007E2AF1" w:rsidRPr="00EA59F7">
        <w:rPr>
          <w:sz w:val="22"/>
          <w:szCs w:val="22"/>
        </w:rPr>
        <w:t>, which</w:t>
      </w:r>
      <w:r w:rsidRPr="00EA59F7">
        <w:rPr>
          <w:sz w:val="22"/>
          <w:szCs w:val="22"/>
        </w:rPr>
        <w:t xml:space="preserve"> match</w:t>
      </w:r>
      <w:r w:rsidR="007E2AF1" w:rsidRPr="00EA59F7">
        <w:rPr>
          <w:sz w:val="22"/>
          <w:szCs w:val="22"/>
        </w:rPr>
        <w:t>es</w:t>
      </w:r>
      <w:r w:rsidRPr="00EA59F7">
        <w:rPr>
          <w:sz w:val="22"/>
          <w:szCs w:val="22"/>
        </w:rPr>
        <w:t xml:space="preserve"> federal standards.</w:t>
      </w:r>
      <w:r w:rsidR="0033457D" w:rsidRPr="00EA59F7">
        <w:rPr>
          <w:sz w:val="22"/>
          <w:szCs w:val="22"/>
        </w:rPr>
        <w:t xml:space="preserve"> Quotes should be included for equipment requests.</w:t>
      </w:r>
      <w:r w:rsidRPr="00EA59F7">
        <w:rPr>
          <w:sz w:val="22"/>
          <w:szCs w:val="22"/>
        </w:rPr>
        <w:t>)</w:t>
      </w:r>
    </w:p>
    <w:p w:rsidR="00456950" w:rsidRPr="00EA59F7" w:rsidRDefault="00456950">
      <w:pPr>
        <w:jc w:val="both"/>
        <w:rPr>
          <w:sz w:val="22"/>
          <w:szCs w:val="22"/>
          <w:u w:val="single"/>
        </w:rPr>
      </w:pPr>
    </w:p>
    <w:p w:rsidR="00456950" w:rsidRPr="00EA59F7" w:rsidRDefault="00456950">
      <w:pPr>
        <w:jc w:val="both"/>
        <w:rPr>
          <w:sz w:val="22"/>
          <w:szCs w:val="22"/>
        </w:rPr>
      </w:pPr>
      <w:proofErr w:type="spellStart"/>
      <w:r w:rsidRPr="00EA59F7">
        <w:rPr>
          <w:sz w:val="22"/>
          <w:szCs w:val="22"/>
          <w:u w:val="single"/>
        </w:rPr>
        <w:t>Subawards</w:t>
      </w:r>
      <w:proofErr w:type="spellEnd"/>
      <w:r w:rsidRPr="00EA59F7">
        <w:rPr>
          <w:sz w:val="22"/>
          <w:szCs w:val="22"/>
        </w:rPr>
        <w:t>:</w:t>
      </w:r>
    </w:p>
    <w:p w:rsidR="00456950" w:rsidRPr="00EA59F7" w:rsidRDefault="00456950">
      <w:pPr>
        <w:ind w:firstLine="720"/>
        <w:jc w:val="both"/>
        <w:rPr>
          <w:sz w:val="22"/>
          <w:szCs w:val="22"/>
        </w:rPr>
      </w:pPr>
      <w:r w:rsidRPr="00EA59F7">
        <w:rPr>
          <w:sz w:val="22"/>
          <w:szCs w:val="22"/>
        </w:rPr>
        <w:t xml:space="preserve">A </w:t>
      </w:r>
      <w:proofErr w:type="spellStart"/>
      <w:r w:rsidRPr="00EA59F7">
        <w:rPr>
          <w:sz w:val="22"/>
          <w:szCs w:val="22"/>
        </w:rPr>
        <w:t>subaward</w:t>
      </w:r>
      <w:proofErr w:type="spellEnd"/>
      <w:r w:rsidRPr="00EA59F7">
        <w:rPr>
          <w:sz w:val="22"/>
          <w:szCs w:val="22"/>
        </w:rPr>
        <w:t xml:space="preserve"> will be made to the University of Tokyo ($125,000 over 3 years) for their portion of the research analyzing samples collected locally in Japan and comparing them to the Alaska samples. The University of Tokyo was selected because of their sole expertise in this field. A budget and narrative is attached for the </w:t>
      </w:r>
      <w:proofErr w:type="spellStart"/>
      <w:r w:rsidRPr="00EA59F7">
        <w:rPr>
          <w:sz w:val="22"/>
          <w:szCs w:val="22"/>
        </w:rPr>
        <w:t>subaward</w:t>
      </w:r>
      <w:proofErr w:type="spellEnd"/>
      <w:r w:rsidRPr="00EA59F7">
        <w:rPr>
          <w:sz w:val="22"/>
          <w:szCs w:val="22"/>
        </w:rPr>
        <w:t>.</w:t>
      </w:r>
    </w:p>
    <w:p w:rsidR="007E2AF1" w:rsidRPr="00EA59F7" w:rsidRDefault="007E2AF1">
      <w:pPr>
        <w:jc w:val="both"/>
        <w:rPr>
          <w:sz w:val="22"/>
          <w:szCs w:val="22"/>
          <w:u w:val="single"/>
        </w:rPr>
      </w:pPr>
    </w:p>
    <w:p w:rsidR="00456950" w:rsidRPr="00EA59F7" w:rsidRDefault="00456950">
      <w:pPr>
        <w:jc w:val="both"/>
        <w:rPr>
          <w:sz w:val="22"/>
          <w:szCs w:val="22"/>
        </w:rPr>
      </w:pPr>
      <w:r w:rsidRPr="00EA59F7">
        <w:rPr>
          <w:sz w:val="22"/>
          <w:szCs w:val="22"/>
          <w:u w:val="single"/>
        </w:rPr>
        <w:t>Materials &amp; Supplies</w:t>
      </w:r>
      <w:r w:rsidRPr="00EA59F7">
        <w:rPr>
          <w:sz w:val="22"/>
          <w:szCs w:val="22"/>
        </w:rPr>
        <w:t>:</w:t>
      </w:r>
    </w:p>
    <w:p w:rsidR="00456950" w:rsidRPr="00EA59F7" w:rsidRDefault="00456950">
      <w:pPr>
        <w:ind w:firstLine="720"/>
        <w:jc w:val="both"/>
        <w:rPr>
          <w:sz w:val="22"/>
          <w:szCs w:val="22"/>
        </w:rPr>
      </w:pPr>
      <w:r w:rsidRPr="00EA59F7">
        <w:rPr>
          <w:sz w:val="22"/>
          <w:szCs w:val="22"/>
        </w:rPr>
        <w:t>Funds are requested for field supplies such as data loggers and sample containers, and other general project supplies.</w:t>
      </w:r>
    </w:p>
    <w:p w:rsidR="00456950" w:rsidRPr="00EA59F7" w:rsidRDefault="00456950">
      <w:pPr>
        <w:jc w:val="both"/>
        <w:rPr>
          <w:sz w:val="22"/>
          <w:szCs w:val="22"/>
        </w:rPr>
      </w:pPr>
    </w:p>
    <w:p w:rsidR="00456950" w:rsidRPr="00EA59F7" w:rsidRDefault="00456950">
      <w:pPr>
        <w:jc w:val="both"/>
        <w:rPr>
          <w:sz w:val="22"/>
          <w:szCs w:val="22"/>
        </w:rPr>
      </w:pPr>
      <w:r w:rsidRPr="00EA59F7">
        <w:rPr>
          <w:b/>
          <w:bCs/>
          <w:sz w:val="22"/>
          <w:szCs w:val="22"/>
        </w:rPr>
        <w:t>(</w:t>
      </w:r>
      <w:r w:rsidR="0075415E">
        <w:rPr>
          <w:sz w:val="22"/>
          <w:szCs w:val="22"/>
        </w:rPr>
        <w:t>OGCA Pre-award</w:t>
      </w:r>
      <w:r w:rsidRPr="00EA59F7">
        <w:rPr>
          <w:b/>
          <w:bCs/>
          <w:sz w:val="22"/>
          <w:szCs w:val="22"/>
        </w:rPr>
        <w:t xml:space="preserve"> Note: </w:t>
      </w:r>
      <w:r w:rsidR="007E2AF1" w:rsidRPr="00EA59F7">
        <w:rPr>
          <w:b/>
          <w:bCs/>
          <w:sz w:val="22"/>
          <w:szCs w:val="22"/>
        </w:rPr>
        <w:t>A</w:t>
      </w:r>
      <w:r w:rsidRPr="00EA59F7">
        <w:rPr>
          <w:b/>
          <w:bCs/>
          <w:sz w:val="22"/>
          <w:szCs w:val="22"/>
        </w:rPr>
        <w:t xml:space="preserve">ny </w:t>
      </w:r>
      <w:r w:rsidR="00CA776F" w:rsidRPr="00EA59F7">
        <w:rPr>
          <w:b/>
          <w:bCs/>
          <w:sz w:val="22"/>
          <w:szCs w:val="22"/>
        </w:rPr>
        <w:t>single item under $5,0</w:t>
      </w:r>
      <w:r w:rsidR="007E2AF1" w:rsidRPr="00EA59F7">
        <w:rPr>
          <w:b/>
          <w:bCs/>
          <w:sz w:val="22"/>
          <w:szCs w:val="22"/>
        </w:rPr>
        <w:t>00.</w:t>
      </w:r>
      <w:r w:rsidRPr="00EA59F7">
        <w:rPr>
          <w:b/>
          <w:bCs/>
          <w:sz w:val="22"/>
          <w:szCs w:val="22"/>
        </w:rPr>
        <w:t xml:space="preserve"> </w:t>
      </w:r>
      <w:r w:rsidR="007E2AF1" w:rsidRPr="00EA59F7">
        <w:rPr>
          <w:b/>
          <w:bCs/>
          <w:sz w:val="22"/>
          <w:szCs w:val="22"/>
        </w:rPr>
        <w:t>S</w:t>
      </w:r>
      <w:r w:rsidRPr="00EA59F7">
        <w:rPr>
          <w:b/>
          <w:bCs/>
          <w:sz w:val="22"/>
          <w:szCs w:val="22"/>
        </w:rPr>
        <w:t>ee the above note regarding equipment threshold. Project-specific computer systems and software will most likely fall into this category.)</w:t>
      </w:r>
    </w:p>
    <w:p w:rsidR="00456950" w:rsidRPr="00EA59F7" w:rsidRDefault="00456950">
      <w:pPr>
        <w:jc w:val="both"/>
        <w:rPr>
          <w:sz w:val="22"/>
          <w:szCs w:val="22"/>
        </w:rPr>
      </w:pPr>
    </w:p>
    <w:p w:rsidR="00456950" w:rsidRPr="00EA59F7" w:rsidRDefault="00456950">
      <w:pPr>
        <w:jc w:val="both"/>
        <w:rPr>
          <w:sz w:val="22"/>
          <w:szCs w:val="22"/>
        </w:rPr>
      </w:pPr>
      <w:r w:rsidRPr="00EA59F7">
        <w:rPr>
          <w:sz w:val="22"/>
          <w:szCs w:val="22"/>
          <w:u w:val="single"/>
        </w:rPr>
        <w:t>Other Direct Costs</w:t>
      </w:r>
      <w:r w:rsidRPr="00EA59F7">
        <w:rPr>
          <w:sz w:val="22"/>
          <w:szCs w:val="22"/>
        </w:rPr>
        <w:t>:</w:t>
      </w:r>
    </w:p>
    <w:p w:rsidR="00456950" w:rsidRPr="00EA59F7" w:rsidRDefault="00456950">
      <w:pPr>
        <w:ind w:firstLine="720"/>
        <w:jc w:val="both"/>
        <w:rPr>
          <w:sz w:val="22"/>
          <w:szCs w:val="22"/>
        </w:rPr>
      </w:pPr>
      <w:r w:rsidRPr="00EA59F7">
        <w:rPr>
          <w:sz w:val="22"/>
          <w:szCs w:val="22"/>
        </w:rPr>
        <w:t xml:space="preserve">Per UAF policy, in-state tuition costs are included for the graduate student (academic year only). Funds are requested for further sample analysis by </w:t>
      </w:r>
      <w:proofErr w:type="spellStart"/>
      <w:proofErr w:type="gramStart"/>
      <w:r w:rsidRPr="00EA59F7">
        <w:rPr>
          <w:sz w:val="22"/>
          <w:szCs w:val="22"/>
        </w:rPr>
        <w:t>SampleCorp</w:t>
      </w:r>
      <w:proofErr w:type="spellEnd"/>
      <w:r w:rsidRPr="00EA59F7">
        <w:rPr>
          <w:sz w:val="22"/>
          <w:szCs w:val="22"/>
        </w:rPr>
        <w:t>.,</w:t>
      </w:r>
      <w:proofErr w:type="gramEnd"/>
      <w:r w:rsidRPr="00EA59F7">
        <w:rPr>
          <w:sz w:val="22"/>
          <w:szCs w:val="22"/>
        </w:rPr>
        <w:t xml:space="preserve"> Inc. at $50/sample. Funds are also proposed for the UAF Analysis Lab to verify the integrity of the samples at $2/sample. $2</w:t>
      </w:r>
      <w:r w:rsidR="0033457D" w:rsidRPr="00EA59F7">
        <w:rPr>
          <w:sz w:val="22"/>
          <w:szCs w:val="22"/>
        </w:rPr>
        <w:t>,</w:t>
      </w:r>
      <w:r w:rsidRPr="00EA59F7">
        <w:rPr>
          <w:sz w:val="22"/>
          <w:szCs w:val="22"/>
        </w:rPr>
        <w:t>000 is requested for airlifting supplies to the field location per year. $500 per year is budgeted for toll/communication charges. $2</w:t>
      </w:r>
      <w:r w:rsidR="0033457D" w:rsidRPr="00EA59F7">
        <w:rPr>
          <w:sz w:val="22"/>
          <w:szCs w:val="22"/>
        </w:rPr>
        <w:t>,</w:t>
      </w:r>
      <w:r w:rsidRPr="00EA59F7">
        <w:rPr>
          <w:sz w:val="22"/>
          <w:szCs w:val="22"/>
        </w:rPr>
        <w:t>500 is requested for page charges/publication costs of the research findings. $500 is included for shipping the samples to and from collaborators.</w:t>
      </w:r>
    </w:p>
    <w:p w:rsidR="00456950" w:rsidRPr="00EA59F7" w:rsidRDefault="00456950">
      <w:pPr>
        <w:jc w:val="both"/>
        <w:rPr>
          <w:sz w:val="22"/>
          <w:szCs w:val="22"/>
        </w:rPr>
      </w:pPr>
    </w:p>
    <w:p w:rsidR="00456950" w:rsidRPr="00EA59F7" w:rsidRDefault="00456950">
      <w:pPr>
        <w:pStyle w:val="BodyText2"/>
        <w:rPr>
          <w:sz w:val="22"/>
          <w:szCs w:val="22"/>
        </w:rPr>
      </w:pPr>
      <w:r w:rsidRPr="00EA59F7">
        <w:rPr>
          <w:sz w:val="22"/>
          <w:szCs w:val="22"/>
        </w:rPr>
        <w:t>(</w:t>
      </w:r>
      <w:r w:rsidR="0075415E">
        <w:rPr>
          <w:sz w:val="22"/>
          <w:szCs w:val="22"/>
        </w:rPr>
        <w:t>OGCA Pre-award</w:t>
      </w:r>
      <w:r w:rsidRPr="00EA59F7">
        <w:rPr>
          <w:sz w:val="22"/>
          <w:szCs w:val="22"/>
        </w:rPr>
        <w:t xml:space="preserve"> Note: This category should also include all other UAF Recharge Center costs, computer support services, participant support costs, vessel charters, animal care costs, consultants, etc.)</w:t>
      </w:r>
    </w:p>
    <w:p w:rsidR="00456950" w:rsidRPr="00EA59F7" w:rsidRDefault="00456950">
      <w:pPr>
        <w:pStyle w:val="BodyText2"/>
        <w:rPr>
          <w:sz w:val="22"/>
          <w:szCs w:val="22"/>
        </w:rPr>
      </w:pPr>
    </w:p>
    <w:p w:rsidR="00456950" w:rsidRPr="009749BE" w:rsidRDefault="00456950">
      <w:pPr>
        <w:pStyle w:val="BodyText2"/>
        <w:rPr>
          <w:sz w:val="22"/>
          <w:szCs w:val="22"/>
        </w:rPr>
      </w:pPr>
      <w:r w:rsidRPr="00EA59F7">
        <w:rPr>
          <w:sz w:val="22"/>
          <w:szCs w:val="22"/>
        </w:rPr>
        <w:t>(</w:t>
      </w:r>
      <w:r w:rsidR="0075415E">
        <w:rPr>
          <w:sz w:val="22"/>
          <w:szCs w:val="22"/>
        </w:rPr>
        <w:t>OGCA Pre-award</w:t>
      </w:r>
      <w:r w:rsidRPr="00EA59F7">
        <w:rPr>
          <w:sz w:val="22"/>
          <w:szCs w:val="22"/>
        </w:rPr>
        <w:t xml:space="preserve"> Note: Costs that are normally not allowable as direct costs include: general office supplies, general computer supplies and software, administrative costs, general copying costs, general postage costs, office equipment, furniture, utilities, and dues/membership costs. These are usually recovered through F&amp;A. Some of these such as postage costs, copying costs, office, and computer supplies are allowable if identifiable as project-specific. More information is available in UAF’s </w:t>
      </w:r>
      <w:r w:rsidRPr="009749BE">
        <w:rPr>
          <w:sz w:val="22"/>
          <w:szCs w:val="22"/>
        </w:rPr>
        <w:t>CASB DS-2 Statement at:</w:t>
      </w:r>
    </w:p>
    <w:p w:rsidR="00456950" w:rsidRPr="00EA59F7" w:rsidRDefault="00575216">
      <w:pPr>
        <w:pStyle w:val="BodyText2"/>
        <w:rPr>
          <w:sz w:val="22"/>
          <w:szCs w:val="22"/>
        </w:rPr>
      </w:pPr>
      <w:hyperlink r:id="rId10" w:history="1">
        <w:r w:rsidR="00456950" w:rsidRPr="009749BE">
          <w:rPr>
            <w:rStyle w:val="Hyperlink"/>
            <w:sz w:val="22"/>
            <w:szCs w:val="22"/>
          </w:rPr>
          <w:t>http://www.alaska.edu/controller/cost-analysis/downloads/Disclosure/UAF_Disclosure_Rec.pdf</w:t>
        </w:r>
      </w:hyperlink>
      <w:r w:rsidR="00456950" w:rsidRPr="009749BE">
        <w:rPr>
          <w:sz w:val="22"/>
          <w:szCs w:val="22"/>
        </w:rPr>
        <w:t>)</w:t>
      </w:r>
    </w:p>
    <w:p w:rsidR="00456950" w:rsidRPr="00EA59F7" w:rsidRDefault="00456950">
      <w:pPr>
        <w:jc w:val="both"/>
        <w:rPr>
          <w:sz w:val="22"/>
          <w:szCs w:val="22"/>
        </w:rPr>
      </w:pPr>
    </w:p>
    <w:p w:rsidR="00456950" w:rsidRPr="00EA59F7" w:rsidRDefault="00456950">
      <w:pPr>
        <w:jc w:val="both"/>
        <w:rPr>
          <w:sz w:val="22"/>
          <w:szCs w:val="22"/>
        </w:rPr>
      </w:pPr>
      <w:r w:rsidRPr="00EA59F7">
        <w:rPr>
          <w:sz w:val="22"/>
          <w:szCs w:val="22"/>
          <w:u w:val="single"/>
        </w:rPr>
        <w:t>Indirect Costs</w:t>
      </w:r>
      <w:r w:rsidRPr="00EA59F7">
        <w:rPr>
          <w:sz w:val="22"/>
          <w:szCs w:val="22"/>
        </w:rPr>
        <w:t>:</w:t>
      </w:r>
    </w:p>
    <w:p w:rsidR="00456950" w:rsidRPr="00EA59F7" w:rsidRDefault="00456950">
      <w:pPr>
        <w:pStyle w:val="BodyText3"/>
        <w:rPr>
          <w:szCs w:val="22"/>
        </w:rPr>
      </w:pPr>
      <w:r w:rsidRPr="00EA59F7">
        <w:rPr>
          <w:szCs w:val="22"/>
        </w:rPr>
        <w:t>Facilities and Administrative (F&amp;A) Costs are</w:t>
      </w:r>
      <w:r w:rsidR="00894458" w:rsidRPr="00EA59F7">
        <w:rPr>
          <w:szCs w:val="22"/>
        </w:rPr>
        <w:t xml:space="preserve"> </w:t>
      </w:r>
      <w:r w:rsidRPr="00EA59F7">
        <w:rPr>
          <w:szCs w:val="22"/>
        </w:rPr>
        <w:t>negotiated with the Office of Naval Research</w:t>
      </w:r>
      <w:r w:rsidR="00962674" w:rsidRPr="00EA59F7">
        <w:rPr>
          <w:szCs w:val="22"/>
        </w:rPr>
        <w:t xml:space="preserve">. The </w:t>
      </w:r>
      <w:r w:rsidR="0055594D" w:rsidRPr="00EA59F7">
        <w:rPr>
          <w:szCs w:val="22"/>
        </w:rPr>
        <w:t xml:space="preserve">provisional </w:t>
      </w:r>
      <w:r w:rsidR="00962674" w:rsidRPr="00EA59F7">
        <w:rPr>
          <w:szCs w:val="22"/>
        </w:rPr>
        <w:t>predetermined rate for</w:t>
      </w:r>
      <w:r w:rsidRPr="00EA59F7">
        <w:rPr>
          <w:szCs w:val="22"/>
        </w:rPr>
        <w:t xml:space="preserve"> </w:t>
      </w:r>
      <w:r w:rsidR="007E2AF1" w:rsidRPr="00EA59F7">
        <w:rPr>
          <w:szCs w:val="22"/>
        </w:rPr>
        <w:t xml:space="preserve">sponsored </w:t>
      </w:r>
      <w:r w:rsidRPr="00EA59F7">
        <w:rPr>
          <w:szCs w:val="22"/>
        </w:rPr>
        <w:t xml:space="preserve">research </w:t>
      </w:r>
      <w:r w:rsidR="00962674" w:rsidRPr="00EA59F7">
        <w:rPr>
          <w:szCs w:val="22"/>
        </w:rPr>
        <w:t xml:space="preserve">is </w:t>
      </w:r>
      <w:r w:rsidR="0055594D" w:rsidRPr="00EA59F7">
        <w:rPr>
          <w:szCs w:val="22"/>
        </w:rPr>
        <w:t>50</w:t>
      </w:r>
      <w:r w:rsidR="00EA59F7" w:rsidRPr="00EA59F7">
        <w:rPr>
          <w:szCs w:val="22"/>
        </w:rPr>
        <w:t>.5</w:t>
      </w:r>
      <w:r w:rsidRPr="00EA59F7">
        <w:rPr>
          <w:szCs w:val="22"/>
        </w:rPr>
        <w:t xml:space="preserve">% of the Modified Total Direct Costs (MTDC). MTDC includes Total Direct Costs minus tuition, scholarships, </w:t>
      </w:r>
      <w:proofErr w:type="spellStart"/>
      <w:proofErr w:type="gramStart"/>
      <w:r w:rsidRPr="00EA59F7">
        <w:rPr>
          <w:szCs w:val="22"/>
        </w:rPr>
        <w:t>subaward</w:t>
      </w:r>
      <w:proofErr w:type="spellEnd"/>
      <w:proofErr w:type="gramEnd"/>
      <w:r w:rsidRPr="00EA59F7">
        <w:rPr>
          <w:szCs w:val="22"/>
        </w:rPr>
        <w:t xml:space="preserve"> amounts over $25,</w:t>
      </w:r>
      <w:r w:rsidR="00E25D20" w:rsidRPr="00EA59F7">
        <w:rPr>
          <w:szCs w:val="22"/>
        </w:rPr>
        <w:t xml:space="preserve">000, </w:t>
      </w:r>
      <w:r w:rsidRPr="00EA59F7">
        <w:rPr>
          <w:szCs w:val="22"/>
        </w:rPr>
        <w:t>and equipment. A copy of the agreement is available at:</w:t>
      </w:r>
    </w:p>
    <w:p w:rsidR="00E25D20" w:rsidRPr="00EA59F7" w:rsidRDefault="00575216">
      <w:pPr>
        <w:pStyle w:val="BodyText"/>
        <w:rPr>
          <w:sz w:val="22"/>
          <w:szCs w:val="22"/>
        </w:rPr>
      </w:pPr>
      <w:hyperlink r:id="rId11" w:history="1">
        <w:r w:rsidR="001462BB" w:rsidRPr="00EA59F7">
          <w:rPr>
            <w:rStyle w:val="Hyperlink"/>
            <w:sz w:val="22"/>
            <w:szCs w:val="22"/>
          </w:rPr>
          <w:t>http://www.alaska.edu/cost-analysis/negotiation-agreements/</w:t>
        </w:r>
      </w:hyperlink>
      <w:r w:rsidR="001462BB" w:rsidRPr="00EA59F7">
        <w:rPr>
          <w:sz w:val="22"/>
          <w:szCs w:val="22"/>
        </w:rPr>
        <w:t>.</w:t>
      </w:r>
    </w:p>
    <w:p w:rsidR="001462BB" w:rsidRPr="00EA59F7" w:rsidRDefault="001462BB">
      <w:pPr>
        <w:pStyle w:val="BodyText"/>
        <w:rPr>
          <w:sz w:val="22"/>
          <w:szCs w:val="22"/>
        </w:rPr>
      </w:pPr>
    </w:p>
    <w:p w:rsidR="00E25D20" w:rsidRPr="00EA59F7" w:rsidRDefault="00E25D20" w:rsidP="00E25D20">
      <w:pPr>
        <w:pStyle w:val="BodyText"/>
        <w:rPr>
          <w:b/>
          <w:bCs/>
          <w:sz w:val="22"/>
          <w:szCs w:val="22"/>
        </w:rPr>
      </w:pPr>
      <w:r w:rsidRPr="00EA59F7">
        <w:rPr>
          <w:b/>
          <w:bCs/>
          <w:sz w:val="22"/>
          <w:szCs w:val="22"/>
        </w:rPr>
        <w:t>(OSP Note: Participant Support Costs are F&amp;A exempt on NSF</w:t>
      </w:r>
      <w:r w:rsidR="00080035" w:rsidRPr="00EA59F7">
        <w:rPr>
          <w:b/>
          <w:bCs/>
          <w:sz w:val="22"/>
          <w:szCs w:val="22"/>
        </w:rPr>
        <w:t xml:space="preserve"> and some NIH</w:t>
      </w:r>
      <w:r w:rsidRPr="00EA59F7">
        <w:rPr>
          <w:b/>
          <w:bCs/>
          <w:sz w:val="22"/>
          <w:szCs w:val="22"/>
        </w:rPr>
        <w:t xml:space="preserve"> proposals only. This is an NSF</w:t>
      </w:r>
      <w:r w:rsidR="00080035" w:rsidRPr="00EA59F7">
        <w:rPr>
          <w:b/>
          <w:bCs/>
          <w:sz w:val="22"/>
          <w:szCs w:val="22"/>
        </w:rPr>
        <w:t>/NIH</w:t>
      </w:r>
      <w:r w:rsidRPr="00EA59F7">
        <w:rPr>
          <w:b/>
          <w:bCs/>
          <w:sz w:val="22"/>
          <w:szCs w:val="22"/>
        </w:rPr>
        <w:t xml:space="preserve"> cost category that other sponsors do not use, and therefore should have F&amp;A charged to it if submitting to a sponsor besides NSF</w:t>
      </w:r>
      <w:r w:rsidR="00080035" w:rsidRPr="00EA59F7">
        <w:rPr>
          <w:b/>
          <w:bCs/>
          <w:sz w:val="22"/>
          <w:szCs w:val="22"/>
        </w:rPr>
        <w:t xml:space="preserve"> or a relevant NIH program</w:t>
      </w:r>
      <w:r w:rsidRPr="00EA59F7">
        <w:rPr>
          <w:b/>
          <w:bCs/>
          <w:sz w:val="22"/>
          <w:szCs w:val="22"/>
        </w:rPr>
        <w:t>.)</w:t>
      </w:r>
    </w:p>
    <w:p w:rsidR="00456950" w:rsidRPr="00EA59F7" w:rsidRDefault="00456950">
      <w:pPr>
        <w:pStyle w:val="BodyText"/>
        <w:rPr>
          <w:sz w:val="22"/>
          <w:szCs w:val="22"/>
        </w:rPr>
      </w:pPr>
    </w:p>
    <w:p w:rsidR="00456950" w:rsidRPr="00EA59F7" w:rsidRDefault="00456950">
      <w:pPr>
        <w:pStyle w:val="BodyText"/>
        <w:rPr>
          <w:b/>
          <w:bCs/>
          <w:sz w:val="22"/>
          <w:szCs w:val="22"/>
        </w:rPr>
      </w:pPr>
      <w:r w:rsidRPr="00EA59F7">
        <w:rPr>
          <w:b/>
          <w:bCs/>
          <w:sz w:val="22"/>
          <w:szCs w:val="22"/>
        </w:rPr>
        <w:t>Alternative Indirect Cost Statement when the Sponsor Limits F&amp;A Recovery:</w:t>
      </w:r>
    </w:p>
    <w:p w:rsidR="00456950" w:rsidRPr="00EA59F7" w:rsidRDefault="00456950">
      <w:pPr>
        <w:pStyle w:val="BodyText"/>
        <w:rPr>
          <w:sz w:val="22"/>
          <w:szCs w:val="22"/>
        </w:rPr>
      </w:pPr>
      <w:r w:rsidRPr="00EA59F7">
        <w:rPr>
          <w:sz w:val="22"/>
          <w:szCs w:val="22"/>
        </w:rPr>
        <w:t xml:space="preserve">Facilitates and Administrative (F&amp;A) Costs are calculated at </w:t>
      </w:r>
      <w:proofErr w:type="spellStart"/>
      <w:r w:rsidRPr="00EA59F7">
        <w:rPr>
          <w:sz w:val="22"/>
          <w:szCs w:val="22"/>
        </w:rPr>
        <w:t>xx.x</w:t>
      </w:r>
      <w:proofErr w:type="spellEnd"/>
      <w:r w:rsidRPr="00EA59F7">
        <w:rPr>
          <w:sz w:val="22"/>
          <w:szCs w:val="22"/>
        </w:rPr>
        <w:t>% as per the proposal guidelines.</w:t>
      </w:r>
    </w:p>
    <w:p w:rsidR="00456950" w:rsidRPr="00EA59F7" w:rsidRDefault="00456950">
      <w:pPr>
        <w:pStyle w:val="BodyText"/>
        <w:rPr>
          <w:b/>
          <w:bCs/>
          <w:sz w:val="22"/>
          <w:szCs w:val="22"/>
        </w:rPr>
      </w:pPr>
    </w:p>
    <w:p w:rsidR="00456950" w:rsidRPr="00EA59F7" w:rsidRDefault="00456950">
      <w:pPr>
        <w:pStyle w:val="BodyText"/>
        <w:rPr>
          <w:b/>
          <w:bCs/>
          <w:sz w:val="22"/>
          <w:szCs w:val="22"/>
        </w:rPr>
      </w:pPr>
      <w:r w:rsidRPr="00EA59F7">
        <w:rPr>
          <w:b/>
          <w:bCs/>
          <w:sz w:val="22"/>
          <w:szCs w:val="22"/>
        </w:rPr>
        <w:lastRenderedPageBreak/>
        <w:t>Alternative Indirect Cost Statement when the Sponsor Prohibits F&amp;A Recovery:</w:t>
      </w:r>
    </w:p>
    <w:p w:rsidR="00456950" w:rsidRPr="00EA59F7" w:rsidRDefault="00456950">
      <w:pPr>
        <w:pStyle w:val="BodyText"/>
        <w:rPr>
          <w:sz w:val="22"/>
          <w:szCs w:val="22"/>
        </w:rPr>
      </w:pPr>
      <w:r w:rsidRPr="00EA59F7">
        <w:rPr>
          <w:sz w:val="22"/>
          <w:szCs w:val="22"/>
        </w:rPr>
        <w:t>Facilities and Administrative (F&amp;A) Costs have not been included in the budget as per the proposal guidelines.</w:t>
      </w:r>
    </w:p>
    <w:p w:rsidR="00456950" w:rsidRPr="00EA59F7" w:rsidRDefault="00456950">
      <w:pPr>
        <w:pStyle w:val="BodyText"/>
        <w:rPr>
          <w:b/>
          <w:bCs/>
          <w:sz w:val="22"/>
          <w:szCs w:val="22"/>
        </w:rPr>
      </w:pPr>
    </w:p>
    <w:p w:rsidR="00456950" w:rsidRPr="00EA59F7" w:rsidRDefault="00456950">
      <w:pPr>
        <w:pStyle w:val="BodyText"/>
        <w:rPr>
          <w:sz w:val="22"/>
          <w:szCs w:val="22"/>
        </w:rPr>
      </w:pPr>
    </w:p>
    <w:p w:rsidR="00456950" w:rsidRPr="00EA59F7" w:rsidRDefault="00456950">
      <w:pPr>
        <w:pStyle w:val="BodyText"/>
        <w:rPr>
          <w:sz w:val="22"/>
          <w:szCs w:val="22"/>
        </w:rPr>
      </w:pPr>
    </w:p>
    <w:sectPr w:rsidR="00456950" w:rsidRPr="00EA59F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16" w:rsidRDefault="00575216">
      <w:r>
        <w:separator/>
      </w:r>
    </w:p>
  </w:endnote>
  <w:endnote w:type="continuationSeparator" w:id="0">
    <w:p w:rsidR="00575216" w:rsidRDefault="0057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08" w:rsidRDefault="0096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F7" w:rsidRPr="00EA59F7" w:rsidRDefault="00EA59F7">
    <w:pPr>
      <w:pStyle w:val="Footer"/>
      <w:tabs>
        <w:tab w:val="clear" w:pos="8640"/>
        <w:tab w:val="right" w:pos="9360"/>
      </w:tabs>
      <w:rPr>
        <w:sz w:val="22"/>
        <w:szCs w:val="22"/>
      </w:rPr>
    </w:pPr>
    <w:r w:rsidRPr="00EA59F7">
      <w:rPr>
        <w:sz w:val="22"/>
        <w:szCs w:val="22"/>
      </w:rPr>
      <w:t xml:space="preserve">Page </w:t>
    </w:r>
    <w:r w:rsidRPr="00EA59F7">
      <w:rPr>
        <w:sz w:val="22"/>
        <w:szCs w:val="22"/>
      </w:rPr>
      <w:fldChar w:fldCharType="begin"/>
    </w:r>
    <w:r w:rsidRPr="00EA59F7">
      <w:rPr>
        <w:sz w:val="22"/>
        <w:szCs w:val="22"/>
      </w:rPr>
      <w:instrText xml:space="preserve"> PAGE </w:instrText>
    </w:r>
    <w:r w:rsidRPr="00EA59F7">
      <w:rPr>
        <w:sz w:val="22"/>
        <w:szCs w:val="22"/>
      </w:rPr>
      <w:fldChar w:fldCharType="separate"/>
    </w:r>
    <w:r w:rsidR="00E00CA9">
      <w:rPr>
        <w:noProof/>
        <w:sz w:val="22"/>
        <w:szCs w:val="22"/>
      </w:rPr>
      <w:t>1</w:t>
    </w:r>
    <w:r w:rsidRPr="00EA59F7">
      <w:rPr>
        <w:sz w:val="22"/>
        <w:szCs w:val="22"/>
      </w:rPr>
      <w:fldChar w:fldCharType="end"/>
    </w:r>
    <w:r w:rsidRPr="00EA59F7">
      <w:rPr>
        <w:sz w:val="22"/>
        <w:szCs w:val="22"/>
      </w:rPr>
      <w:t xml:space="preserve"> of </w:t>
    </w:r>
    <w:r w:rsidRPr="00EA59F7">
      <w:rPr>
        <w:sz w:val="22"/>
        <w:szCs w:val="22"/>
      </w:rPr>
      <w:fldChar w:fldCharType="begin"/>
    </w:r>
    <w:r w:rsidRPr="00EA59F7">
      <w:rPr>
        <w:sz w:val="22"/>
        <w:szCs w:val="22"/>
      </w:rPr>
      <w:instrText xml:space="preserve"> NUMPAGES </w:instrText>
    </w:r>
    <w:r w:rsidRPr="00EA59F7">
      <w:rPr>
        <w:sz w:val="22"/>
        <w:szCs w:val="22"/>
      </w:rPr>
      <w:fldChar w:fldCharType="separate"/>
    </w:r>
    <w:r w:rsidR="00E00CA9">
      <w:rPr>
        <w:noProof/>
        <w:sz w:val="22"/>
        <w:szCs w:val="22"/>
      </w:rPr>
      <w:t>3</w:t>
    </w:r>
    <w:r w:rsidRPr="00EA59F7">
      <w:rPr>
        <w:sz w:val="22"/>
        <w:szCs w:val="22"/>
      </w:rPr>
      <w:fldChar w:fldCharType="end"/>
    </w:r>
    <w:r w:rsidRPr="00EA59F7">
      <w:rPr>
        <w:sz w:val="22"/>
        <w:szCs w:val="22"/>
      </w:rPr>
      <w:tab/>
    </w:r>
    <w:r w:rsidRPr="00EA59F7">
      <w:rPr>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08" w:rsidRDefault="00963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16" w:rsidRDefault="00575216">
      <w:r>
        <w:separator/>
      </w:r>
    </w:p>
  </w:footnote>
  <w:footnote w:type="continuationSeparator" w:id="0">
    <w:p w:rsidR="00575216" w:rsidRDefault="00575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08" w:rsidRDefault="00963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F7" w:rsidRPr="00577E96" w:rsidRDefault="00963808">
    <w:pPr>
      <w:pStyle w:val="Header"/>
      <w:rPr>
        <w:sz w:val="20"/>
      </w:rPr>
    </w:pPr>
    <w:r>
      <w:rPr>
        <w:sz w:val="20"/>
      </w:rPr>
      <w:t>Proposal</w:t>
    </w:r>
    <w:r w:rsidR="00EA59F7" w:rsidRPr="00577E96">
      <w:rPr>
        <w:sz w:val="20"/>
      </w:rPr>
      <w:t xml:space="preserve"> – Sample Budget Justification</w:t>
    </w:r>
    <w:r w:rsidR="00EA59F7">
      <w:rPr>
        <w:sz w:val="20"/>
      </w:rPr>
      <w:tab/>
    </w:r>
    <w:r w:rsidR="00EA59F7">
      <w:rPr>
        <w:sz w:val="20"/>
      </w:rPr>
      <w:tab/>
      <w:t>Updated: August 21,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08" w:rsidRDefault="00963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5AF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0390646"/>
    <w:multiLevelType w:val="hybridMultilevel"/>
    <w:tmpl w:val="9EC46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F1"/>
    <w:rsid w:val="0004118A"/>
    <w:rsid w:val="00066BA0"/>
    <w:rsid w:val="00080035"/>
    <w:rsid w:val="000A2921"/>
    <w:rsid w:val="000B2239"/>
    <w:rsid w:val="001462BB"/>
    <w:rsid w:val="00147FC5"/>
    <w:rsid w:val="0015339A"/>
    <w:rsid w:val="001D5898"/>
    <w:rsid w:val="002152D9"/>
    <w:rsid w:val="0026053A"/>
    <w:rsid w:val="002B02C0"/>
    <w:rsid w:val="002C1919"/>
    <w:rsid w:val="0033457D"/>
    <w:rsid w:val="00352E5F"/>
    <w:rsid w:val="00372B8A"/>
    <w:rsid w:val="003835D0"/>
    <w:rsid w:val="003A7B4F"/>
    <w:rsid w:val="00413098"/>
    <w:rsid w:val="00441140"/>
    <w:rsid w:val="00456950"/>
    <w:rsid w:val="004D1BD0"/>
    <w:rsid w:val="004E041F"/>
    <w:rsid w:val="004F2FBD"/>
    <w:rsid w:val="005160B0"/>
    <w:rsid w:val="0053422D"/>
    <w:rsid w:val="00550D94"/>
    <w:rsid w:val="0055594D"/>
    <w:rsid w:val="00575216"/>
    <w:rsid w:val="00577E96"/>
    <w:rsid w:val="00586F13"/>
    <w:rsid w:val="00604CDB"/>
    <w:rsid w:val="00687C8C"/>
    <w:rsid w:val="006A51B4"/>
    <w:rsid w:val="006C6777"/>
    <w:rsid w:val="00716062"/>
    <w:rsid w:val="007163AC"/>
    <w:rsid w:val="0075415E"/>
    <w:rsid w:val="007E2AF1"/>
    <w:rsid w:val="00876043"/>
    <w:rsid w:val="008902B0"/>
    <w:rsid w:val="00894458"/>
    <w:rsid w:val="008B5118"/>
    <w:rsid w:val="008D5681"/>
    <w:rsid w:val="00906359"/>
    <w:rsid w:val="00907AFE"/>
    <w:rsid w:val="009369C1"/>
    <w:rsid w:val="00962674"/>
    <w:rsid w:val="00963808"/>
    <w:rsid w:val="009749BE"/>
    <w:rsid w:val="00A725CD"/>
    <w:rsid w:val="00B01607"/>
    <w:rsid w:val="00B01BE5"/>
    <w:rsid w:val="00B13067"/>
    <w:rsid w:val="00B41648"/>
    <w:rsid w:val="00B43F46"/>
    <w:rsid w:val="00C3089E"/>
    <w:rsid w:val="00C36C19"/>
    <w:rsid w:val="00C52A73"/>
    <w:rsid w:val="00C947D2"/>
    <w:rsid w:val="00CA776F"/>
    <w:rsid w:val="00CE26B6"/>
    <w:rsid w:val="00D437D8"/>
    <w:rsid w:val="00DD43EC"/>
    <w:rsid w:val="00DF72BD"/>
    <w:rsid w:val="00E00CA9"/>
    <w:rsid w:val="00E25D20"/>
    <w:rsid w:val="00E702E0"/>
    <w:rsid w:val="00E76BC0"/>
    <w:rsid w:val="00EA59F7"/>
    <w:rsid w:val="00EE3733"/>
    <w:rsid w:val="00EF0882"/>
    <w:rsid w:val="00F717AE"/>
    <w:rsid w:val="00FA2AFB"/>
    <w:rsid w:val="00FB0629"/>
    <w:rsid w:val="00FC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both"/>
    </w:pPr>
    <w:rPr>
      <w:b/>
      <w:bCs/>
    </w:rPr>
  </w:style>
  <w:style w:type="paragraph" w:styleId="BodyText3">
    <w:name w:val="Body Text 3"/>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both"/>
    </w:pPr>
    <w:rPr>
      <w:b/>
      <w:bCs/>
    </w:rPr>
  </w:style>
  <w:style w:type="paragraph" w:styleId="BodyText3">
    <w:name w:val="Body Text 3"/>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ska.edu/cost-analysis/negotiation-agreement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ska.edu/cost-analysis/negotiation-agreem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ska.edu/controller/cost-analysis/downloads/Disclosure/UAF_Disclosure_Rec.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fensetravel.dod.mil/site/perdiemCalc.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Budget Justification</vt:lpstr>
    </vt:vector>
  </TitlesOfParts>
  <Company>UAF</Company>
  <LinksUpToDate>false</LinksUpToDate>
  <CharactersWithSpaces>7045</CharactersWithSpaces>
  <SharedDoc>false</SharedDoc>
  <HLinks>
    <vt:vector size="24" baseType="variant">
      <vt:variant>
        <vt:i4>2490493</vt:i4>
      </vt:variant>
      <vt:variant>
        <vt:i4>9</vt:i4>
      </vt:variant>
      <vt:variant>
        <vt:i4>0</vt:i4>
      </vt:variant>
      <vt:variant>
        <vt:i4>5</vt:i4>
      </vt:variant>
      <vt:variant>
        <vt:lpwstr>http://www.alaska.edu/cost-analysis/negotiation-agreements/</vt:lpwstr>
      </vt:variant>
      <vt:variant>
        <vt:lpwstr/>
      </vt:variant>
      <vt:variant>
        <vt:i4>262154</vt:i4>
      </vt:variant>
      <vt:variant>
        <vt:i4>6</vt:i4>
      </vt:variant>
      <vt:variant>
        <vt:i4>0</vt:i4>
      </vt:variant>
      <vt:variant>
        <vt:i4>5</vt:i4>
      </vt:variant>
      <vt:variant>
        <vt:lpwstr>http://www.alaska.edu/controller/cost-analysis/downloads/Disclosure/UAF_Disclosure_Rec.pdf</vt:lpwstr>
      </vt:variant>
      <vt:variant>
        <vt:lpwstr/>
      </vt:variant>
      <vt:variant>
        <vt:i4>4194321</vt:i4>
      </vt:variant>
      <vt:variant>
        <vt:i4>3</vt:i4>
      </vt:variant>
      <vt:variant>
        <vt:i4>0</vt:i4>
      </vt:variant>
      <vt:variant>
        <vt:i4>5</vt:i4>
      </vt:variant>
      <vt:variant>
        <vt:lpwstr>http://www.defensetravel.dod.mil/site/perdiemCalc.cfm</vt:lpwstr>
      </vt:variant>
      <vt:variant>
        <vt:lpwstr/>
      </vt:variant>
      <vt:variant>
        <vt:i4>2490493</vt:i4>
      </vt:variant>
      <vt:variant>
        <vt:i4>0</vt:i4>
      </vt:variant>
      <vt:variant>
        <vt:i4>0</vt:i4>
      </vt:variant>
      <vt:variant>
        <vt:i4>5</vt:i4>
      </vt:variant>
      <vt:variant>
        <vt:lpwstr>http://www.alaska.edu/cost-analysis/negotiation-agreements/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Budget Justification</dc:title>
  <dc:creator>Andrew M. Gray</dc:creator>
  <cp:lastModifiedBy>Carrie L Santoro</cp:lastModifiedBy>
  <cp:revision>2</cp:revision>
  <cp:lastPrinted>2005-04-22T22:16:00Z</cp:lastPrinted>
  <dcterms:created xsi:type="dcterms:W3CDTF">2014-08-27T16:47:00Z</dcterms:created>
  <dcterms:modified xsi:type="dcterms:W3CDTF">2014-08-27T16:47:00Z</dcterms:modified>
</cp:coreProperties>
</file>