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720" w:rsidRDefault="00DC4924">
      <w:bookmarkStart w:id="0" w:name="_GoBack"/>
      <w:bookmarkEnd w:id="0"/>
      <w:r>
        <w:t xml:space="preserve">Food Safety and Toxicology </w:t>
      </w:r>
      <w:proofErr w:type="spellStart"/>
      <w:r>
        <w:t>Chem</w:t>
      </w:r>
      <w:proofErr w:type="spellEnd"/>
      <w:r>
        <w:t xml:space="preserve"> 493</w:t>
      </w:r>
    </w:p>
    <w:p w:rsidR="00DC4924" w:rsidRDefault="00DC4924">
      <w:r>
        <w:t>Prerequisites for class:  Recommended Chemistry 104 or higher</w:t>
      </w:r>
    </w:p>
    <w:p w:rsidR="00DC4924" w:rsidRDefault="00DC4924" w:rsidP="00DC4924">
      <w:r>
        <w:t xml:space="preserve">Instructors:  </w:t>
      </w:r>
    </w:p>
    <w:p w:rsidR="00DC4924" w:rsidRDefault="00DC4924" w:rsidP="00DC4924">
      <w:pPr>
        <w:spacing w:after="0" w:line="240" w:lineRule="auto"/>
      </w:pPr>
      <w:r>
        <w:t>Dr. Lawrence Duffy</w:t>
      </w:r>
    </w:p>
    <w:p w:rsidR="00DC4924" w:rsidRDefault="00DC4924" w:rsidP="00DC4924">
      <w:pPr>
        <w:spacing w:after="0" w:line="240" w:lineRule="auto"/>
      </w:pPr>
      <w:r>
        <w:t>Office:  246 West Ridge Research Building (WRRB)</w:t>
      </w:r>
    </w:p>
    <w:p w:rsidR="00DC4924" w:rsidRDefault="00DC4924" w:rsidP="00DC4924">
      <w:pPr>
        <w:spacing w:after="0" w:line="240" w:lineRule="auto"/>
      </w:pPr>
      <w:r>
        <w:t>Phone:  474-7525</w:t>
      </w:r>
    </w:p>
    <w:p w:rsidR="00DC4924" w:rsidRDefault="00DC4924" w:rsidP="00DC4924">
      <w:pPr>
        <w:spacing w:after="0" w:line="240" w:lineRule="auto"/>
      </w:pPr>
      <w:r>
        <w:t xml:space="preserve">Email:  </w:t>
      </w:r>
      <w:hyperlink r:id="rId6" w:history="1">
        <w:r w:rsidRPr="005750D8">
          <w:rPr>
            <w:rStyle w:val="Hyperlink"/>
          </w:rPr>
          <w:t>lkduffy@alaska.edu</w:t>
        </w:r>
      </w:hyperlink>
    </w:p>
    <w:p w:rsidR="00DC4924" w:rsidRDefault="00DC4924" w:rsidP="00DC4924">
      <w:pPr>
        <w:spacing w:after="0" w:line="240" w:lineRule="auto"/>
      </w:pPr>
    </w:p>
    <w:p w:rsidR="00DC4924" w:rsidRDefault="00DC4924" w:rsidP="00DC4924">
      <w:pPr>
        <w:spacing w:after="0" w:line="240" w:lineRule="auto"/>
      </w:pPr>
      <w:r>
        <w:t xml:space="preserve">Bret </w:t>
      </w:r>
      <w:proofErr w:type="spellStart"/>
      <w:r>
        <w:t>Luick</w:t>
      </w:r>
      <w:proofErr w:type="spellEnd"/>
    </w:p>
    <w:p w:rsidR="00DC4924" w:rsidRDefault="00DC4924" w:rsidP="00DC4924">
      <w:pPr>
        <w:spacing w:after="0" w:line="240" w:lineRule="auto"/>
      </w:pPr>
      <w:r>
        <w:t>347 O’Neill Building</w:t>
      </w:r>
    </w:p>
    <w:p w:rsidR="00DC4924" w:rsidRDefault="00DC4924" w:rsidP="00DC4924">
      <w:pPr>
        <w:spacing w:after="0" w:line="240" w:lineRule="auto"/>
      </w:pPr>
      <w:r>
        <w:t>907-474-5170</w:t>
      </w:r>
    </w:p>
    <w:p w:rsidR="00DC4924" w:rsidRDefault="00A31EC6" w:rsidP="00DC4924">
      <w:pPr>
        <w:spacing w:after="0" w:line="240" w:lineRule="auto"/>
      </w:pPr>
      <w:hyperlink r:id="rId7" w:history="1">
        <w:r w:rsidR="00DC4924" w:rsidRPr="005750D8">
          <w:rPr>
            <w:rStyle w:val="Hyperlink"/>
          </w:rPr>
          <w:t>bluick@alaska.edu</w:t>
        </w:r>
      </w:hyperlink>
    </w:p>
    <w:p w:rsidR="00DC4924" w:rsidRDefault="00DC4924" w:rsidP="00DC4924"/>
    <w:p w:rsidR="00DC4924" w:rsidRDefault="00DC4924" w:rsidP="00DC4924">
      <w:r>
        <w:t xml:space="preserve">Lectures:  Tuesdays and Thursdays, 3:40 – 5:10 pm, </w:t>
      </w:r>
      <w:proofErr w:type="spellStart"/>
      <w:r>
        <w:t>Murie</w:t>
      </w:r>
      <w:proofErr w:type="spellEnd"/>
      <w:r>
        <w:t xml:space="preserve"> 105</w:t>
      </w:r>
    </w:p>
    <w:p w:rsidR="00DC4924" w:rsidRDefault="00DC4924" w:rsidP="00DC4924">
      <w:r>
        <w:t>Textbook:  Introduction to Food toxicology (2</w:t>
      </w:r>
      <w:r w:rsidRPr="00DC4924">
        <w:rPr>
          <w:vertAlign w:val="superscript"/>
        </w:rPr>
        <w:t>nd</w:t>
      </w:r>
      <w:r>
        <w:t xml:space="preserve"> edition) by T. </w:t>
      </w:r>
      <w:proofErr w:type="spellStart"/>
      <w:r>
        <w:t>Shibamato</w:t>
      </w:r>
      <w:proofErr w:type="spellEnd"/>
      <w:r>
        <w:t xml:space="preserve">, LF </w:t>
      </w:r>
      <w:proofErr w:type="spellStart"/>
      <w:r>
        <w:t>Bjeldanes</w:t>
      </w:r>
      <w:proofErr w:type="spellEnd"/>
      <w:r>
        <w:t>, Academic Press/Elsevier</w:t>
      </w:r>
    </w:p>
    <w:p w:rsidR="00DC4924" w:rsidRDefault="00DC4924" w:rsidP="00DC4924">
      <w:r>
        <w:t>Course description:  I</w:t>
      </w:r>
      <w:r w:rsidRPr="00DC4924">
        <w:t>ntroduction to food safety and toxicology includes the understanding of the entire range of toxic compounds found in foods-whether naturally occurring or used by industry.  Topics include: mechanisms of regulation of xenobiotic activation and deactivation; developments in the modes of action and impact of natural toxins in food plants; a comprehensive review of the issues surrounding dioxins; the function of antioxidants and their toxicological aspects; phytochemicals, their beneficial effects and the modes of action of this growing group of nutraceuticals from food plants; diet and drug interactions.</w:t>
      </w:r>
    </w:p>
    <w:p w:rsidR="00DC4924" w:rsidRDefault="00DC4924" w:rsidP="00DC4924">
      <w:r>
        <w:t>Learning Objectives:</w:t>
      </w:r>
    </w:p>
    <w:p w:rsidR="00DC4924" w:rsidRDefault="00DC4924" w:rsidP="00DC4924">
      <w:r>
        <w:t>Upon successful completion of this course, students will</w:t>
      </w:r>
    </w:p>
    <w:p w:rsidR="00DC4924" w:rsidRDefault="005E7A23" w:rsidP="005E7A23">
      <w:pPr>
        <w:pStyle w:val="ListParagraph"/>
        <w:numPr>
          <w:ilvl w:val="0"/>
          <w:numId w:val="1"/>
        </w:numPr>
      </w:pPr>
      <w:r>
        <w:t>b</w:t>
      </w:r>
      <w:r w:rsidR="00DC4924">
        <w:t>e able to demonstrate a fundamental knowledge of processes and endpoints in the human body associated with exposure to toxic agents in the human food chain;</w:t>
      </w:r>
    </w:p>
    <w:p w:rsidR="00DC4924" w:rsidRDefault="005E7A23" w:rsidP="005E7A23">
      <w:pPr>
        <w:pStyle w:val="ListParagraph"/>
        <w:numPr>
          <w:ilvl w:val="0"/>
          <w:numId w:val="1"/>
        </w:numPr>
      </w:pPr>
      <w:r>
        <w:t>b</w:t>
      </w:r>
      <w:r w:rsidR="00DC4924">
        <w:t xml:space="preserve">e able to demonstrate a fundamental knowledge of risk assessment and food safety </w:t>
      </w:r>
      <w:r>
        <w:t xml:space="preserve">as it is applied to </w:t>
      </w:r>
      <w:r w:rsidRPr="005E7A23">
        <w:t>toxic agents in the human food chain</w:t>
      </w:r>
      <w:r>
        <w:t>;</w:t>
      </w:r>
    </w:p>
    <w:p w:rsidR="005E7A23" w:rsidRDefault="005E7A23" w:rsidP="005E7A23">
      <w:pPr>
        <w:pStyle w:val="ListParagraph"/>
        <w:numPr>
          <w:ilvl w:val="0"/>
          <w:numId w:val="1"/>
        </w:numPr>
      </w:pPr>
      <w:r>
        <w:t>acquire mastery with the major issues, concepts, and subject areas in food toxicology;</w:t>
      </w:r>
    </w:p>
    <w:p w:rsidR="005E7A23" w:rsidRDefault="005E7A23" w:rsidP="005E7A23">
      <w:pPr>
        <w:pStyle w:val="ListParagraph"/>
        <w:numPr>
          <w:ilvl w:val="0"/>
          <w:numId w:val="1"/>
        </w:numPr>
      </w:pPr>
      <w:proofErr w:type="gramStart"/>
      <w:r>
        <w:t>acquire</w:t>
      </w:r>
      <w:proofErr w:type="gramEnd"/>
      <w:r>
        <w:t xml:space="preserve"> mastery of sourcing and synthesizing information in aspects of Food Chemistry, Toxicology, and Microbiology as it applies to chemical food safety and food toxicology.  </w:t>
      </w:r>
    </w:p>
    <w:p w:rsidR="002E4AFC" w:rsidRDefault="002E4AFC">
      <w:r>
        <w:br w:type="page"/>
      </w:r>
    </w:p>
    <w:p w:rsidR="002E4AFC" w:rsidRDefault="002E4AFC">
      <w:pPr>
        <w:rPr>
          <w:b/>
        </w:rPr>
      </w:pPr>
      <w:r w:rsidRPr="002E4AFC">
        <w:rPr>
          <w:b/>
        </w:rPr>
        <w:lastRenderedPageBreak/>
        <w:t>Class Lecture Plan</w:t>
      </w:r>
    </w:p>
    <w:tbl>
      <w:tblPr>
        <w:tblStyle w:val="TableGrid"/>
        <w:tblW w:w="0" w:type="auto"/>
        <w:tblLook w:val="04A0" w:firstRow="1" w:lastRow="0" w:firstColumn="1" w:lastColumn="0" w:noHBand="0" w:noVBand="1"/>
      </w:tblPr>
      <w:tblGrid>
        <w:gridCol w:w="1098"/>
        <w:gridCol w:w="8478"/>
      </w:tblGrid>
      <w:tr w:rsidR="002E4AFC" w:rsidTr="002E4AFC">
        <w:tc>
          <w:tcPr>
            <w:tcW w:w="1098" w:type="dxa"/>
          </w:tcPr>
          <w:p w:rsidR="002E4AFC" w:rsidRDefault="002E4AFC">
            <w:r>
              <w:t>Week</w:t>
            </w:r>
          </w:p>
        </w:tc>
        <w:tc>
          <w:tcPr>
            <w:tcW w:w="8478" w:type="dxa"/>
          </w:tcPr>
          <w:p w:rsidR="002E4AFC" w:rsidRDefault="002E4AFC">
            <w:r>
              <w:t>Lecture Title</w:t>
            </w:r>
          </w:p>
        </w:tc>
      </w:tr>
      <w:tr w:rsidR="002E4AFC" w:rsidTr="002E4AFC">
        <w:tc>
          <w:tcPr>
            <w:tcW w:w="1098" w:type="dxa"/>
          </w:tcPr>
          <w:p w:rsidR="002E4AFC" w:rsidRDefault="002E4AFC">
            <w:r>
              <w:t>1</w:t>
            </w:r>
          </w:p>
        </w:tc>
        <w:tc>
          <w:tcPr>
            <w:tcW w:w="8478" w:type="dxa"/>
          </w:tcPr>
          <w:p w:rsidR="002E4AFC" w:rsidRDefault="002E4AFC">
            <w:r>
              <w:t>Introduction to Food Toxicology</w:t>
            </w:r>
          </w:p>
          <w:p w:rsidR="002E4AFC" w:rsidRDefault="002E4AFC">
            <w:r>
              <w:t>History of food Regulation</w:t>
            </w:r>
          </w:p>
        </w:tc>
      </w:tr>
      <w:tr w:rsidR="002E4AFC" w:rsidTr="002E4AFC">
        <w:tc>
          <w:tcPr>
            <w:tcW w:w="1098" w:type="dxa"/>
          </w:tcPr>
          <w:p w:rsidR="002E4AFC" w:rsidRDefault="002E4AFC">
            <w:r>
              <w:t>2</w:t>
            </w:r>
          </w:p>
        </w:tc>
        <w:tc>
          <w:tcPr>
            <w:tcW w:w="8478" w:type="dxa"/>
          </w:tcPr>
          <w:p w:rsidR="002E4AFC" w:rsidRDefault="002E4AFC">
            <w:r>
              <w:t>Some Concepts of Toxicology</w:t>
            </w:r>
          </w:p>
          <w:p w:rsidR="002E4AFC" w:rsidRDefault="002E4AFC">
            <w:r>
              <w:t>Factors that Influence Toxicology</w:t>
            </w:r>
          </w:p>
        </w:tc>
      </w:tr>
      <w:tr w:rsidR="002E4AFC" w:rsidTr="002E4AFC">
        <w:tc>
          <w:tcPr>
            <w:tcW w:w="1098" w:type="dxa"/>
          </w:tcPr>
          <w:p w:rsidR="002E4AFC" w:rsidRDefault="002E4AFC">
            <w:r>
              <w:t>3</w:t>
            </w:r>
          </w:p>
        </w:tc>
        <w:tc>
          <w:tcPr>
            <w:tcW w:w="8478" w:type="dxa"/>
          </w:tcPr>
          <w:p w:rsidR="002E4AFC" w:rsidRDefault="002E4AFC">
            <w:r>
              <w:t>Dose Response</w:t>
            </w:r>
          </w:p>
          <w:p w:rsidR="002E4AFC" w:rsidRDefault="002E4AFC">
            <w:r>
              <w:t xml:space="preserve">Potency and </w:t>
            </w:r>
            <w:proofErr w:type="spellStart"/>
            <w:r>
              <w:t>Hormesis</w:t>
            </w:r>
            <w:proofErr w:type="spellEnd"/>
          </w:p>
        </w:tc>
      </w:tr>
      <w:tr w:rsidR="002E4AFC" w:rsidTr="002E4AFC">
        <w:tc>
          <w:tcPr>
            <w:tcW w:w="1098" w:type="dxa"/>
          </w:tcPr>
          <w:p w:rsidR="002E4AFC" w:rsidRDefault="002E4AFC">
            <w:r>
              <w:t>4</w:t>
            </w:r>
          </w:p>
        </w:tc>
        <w:tc>
          <w:tcPr>
            <w:tcW w:w="8478" w:type="dxa"/>
          </w:tcPr>
          <w:p w:rsidR="002E4AFC" w:rsidRDefault="002E4AFC">
            <w:r>
              <w:t>Absorption</w:t>
            </w:r>
          </w:p>
          <w:p w:rsidR="00720C92" w:rsidRDefault="00720C92">
            <w:r>
              <w:t>Distribution</w:t>
            </w:r>
          </w:p>
        </w:tc>
      </w:tr>
      <w:tr w:rsidR="002E4AFC" w:rsidTr="002E4AFC">
        <w:tc>
          <w:tcPr>
            <w:tcW w:w="1098" w:type="dxa"/>
          </w:tcPr>
          <w:p w:rsidR="002E4AFC" w:rsidRDefault="002E4AFC">
            <w:r>
              <w:t>5</w:t>
            </w:r>
          </w:p>
        </w:tc>
        <w:tc>
          <w:tcPr>
            <w:tcW w:w="8478" w:type="dxa"/>
          </w:tcPr>
          <w:p w:rsidR="002E4AFC" w:rsidRDefault="00720C92">
            <w:r>
              <w:t>Storage</w:t>
            </w:r>
          </w:p>
          <w:p w:rsidR="00720C92" w:rsidRDefault="00720C92">
            <w:r>
              <w:t>Excretion</w:t>
            </w:r>
          </w:p>
        </w:tc>
      </w:tr>
      <w:tr w:rsidR="002E4AFC" w:rsidTr="002E4AFC">
        <w:tc>
          <w:tcPr>
            <w:tcW w:w="1098" w:type="dxa"/>
          </w:tcPr>
          <w:p w:rsidR="002E4AFC" w:rsidRDefault="002E4AFC"/>
        </w:tc>
        <w:tc>
          <w:tcPr>
            <w:tcW w:w="8478" w:type="dxa"/>
          </w:tcPr>
          <w:p w:rsidR="002E4AFC" w:rsidRPr="00720C92" w:rsidRDefault="00720C92">
            <w:pPr>
              <w:rPr>
                <w:b/>
              </w:rPr>
            </w:pPr>
            <w:r w:rsidRPr="00720C92">
              <w:rPr>
                <w:b/>
              </w:rPr>
              <w:t>Exam 1</w:t>
            </w:r>
          </w:p>
        </w:tc>
      </w:tr>
      <w:tr w:rsidR="002E4AFC" w:rsidTr="002E4AFC">
        <w:tc>
          <w:tcPr>
            <w:tcW w:w="1098" w:type="dxa"/>
          </w:tcPr>
          <w:p w:rsidR="002E4AFC" w:rsidRDefault="00720C92">
            <w:r>
              <w:t>6</w:t>
            </w:r>
          </w:p>
        </w:tc>
        <w:tc>
          <w:tcPr>
            <w:tcW w:w="8478" w:type="dxa"/>
          </w:tcPr>
          <w:p w:rsidR="002E4AFC" w:rsidRDefault="00720C92">
            <w:r>
              <w:t>Acute and Chronic Toxicity</w:t>
            </w:r>
          </w:p>
          <w:p w:rsidR="00720C92" w:rsidRDefault="00720C92">
            <w:proofErr w:type="spellStart"/>
            <w:r w:rsidRPr="00720C92">
              <w:t>Teratogenesis</w:t>
            </w:r>
            <w:proofErr w:type="spellEnd"/>
            <w:r w:rsidRPr="00720C92">
              <w:t xml:space="preserve"> and Mutagenesis</w:t>
            </w:r>
          </w:p>
        </w:tc>
      </w:tr>
      <w:tr w:rsidR="002E4AFC" w:rsidTr="002E4AFC">
        <w:tc>
          <w:tcPr>
            <w:tcW w:w="1098" w:type="dxa"/>
          </w:tcPr>
          <w:p w:rsidR="002E4AFC" w:rsidRDefault="00720C92">
            <w:r>
              <w:t>7</w:t>
            </w:r>
          </w:p>
        </w:tc>
        <w:tc>
          <w:tcPr>
            <w:tcW w:w="8478" w:type="dxa"/>
          </w:tcPr>
          <w:p w:rsidR="002E4AFC" w:rsidRDefault="00720C92">
            <w:proofErr w:type="spellStart"/>
            <w:r w:rsidRPr="00720C92">
              <w:rPr>
                <w:highlight w:val="yellow"/>
              </w:rPr>
              <w:t>Bcotransformation</w:t>
            </w:r>
            <w:proofErr w:type="spellEnd"/>
          </w:p>
          <w:p w:rsidR="00720C92" w:rsidRDefault="00720C92">
            <w:r>
              <w:t xml:space="preserve">Phase II Metabolism and </w:t>
            </w:r>
            <w:proofErr w:type="spellStart"/>
            <w:r>
              <w:t>Esterases</w:t>
            </w:r>
            <w:proofErr w:type="spellEnd"/>
          </w:p>
        </w:tc>
      </w:tr>
      <w:tr w:rsidR="002E4AFC" w:rsidTr="002E4AFC">
        <w:tc>
          <w:tcPr>
            <w:tcW w:w="1098" w:type="dxa"/>
          </w:tcPr>
          <w:p w:rsidR="002E4AFC" w:rsidRDefault="00720C92">
            <w:r>
              <w:t>8</w:t>
            </w:r>
          </w:p>
        </w:tc>
        <w:tc>
          <w:tcPr>
            <w:tcW w:w="8478" w:type="dxa"/>
          </w:tcPr>
          <w:p w:rsidR="002E4AFC" w:rsidRDefault="00720C92">
            <w:r>
              <w:t>Chemical Carcinogens</w:t>
            </w:r>
          </w:p>
        </w:tc>
      </w:tr>
      <w:tr w:rsidR="002E4AFC" w:rsidTr="002E4AFC">
        <w:tc>
          <w:tcPr>
            <w:tcW w:w="1098" w:type="dxa"/>
          </w:tcPr>
          <w:p w:rsidR="002E4AFC" w:rsidRDefault="00720C92">
            <w:r>
              <w:t>9</w:t>
            </w:r>
          </w:p>
        </w:tc>
        <w:tc>
          <w:tcPr>
            <w:tcW w:w="8478" w:type="dxa"/>
          </w:tcPr>
          <w:p w:rsidR="002E4AFC" w:rsidRDefault="00720C92">
            <w:r>
              <w:t>Natural Toxins</w:t>
            </w:r>
          </w:p>
          <w:p w:rsidR="00720C92" w:rsidRDefault="00720C92">
            <w:r>
              <w:t>Vitamin A</w:t>
            </w:r>
          </w:p>
        </w:tc>
      </w:tr>
      <w:tr w:rsidR="002E4AFC" w:rsidTr="002E4AFC">
        <w:tc>
          <w:tcPr>
            <w:tcW w:w="1098" w:type="dxa"/>
          </w:tcPr>
          <w:p w:rsidR="002E4AFC" w:rsidRDefault="00720C92">
            <w:r>
              <w:t>10</w:t>
            </w:r>
          </w:p>
        </w:tc>
        <w:tc>
          <w:tcPr>
            <w:tcW w:w="8478" w:type="dxa"/>
          </w:tcPr>
          <w:p w:rsidR="002E4AFC" w:rsidRDefault="00720C92">
            <w:r>
              <w:t>Bile Acids</w:t>
            </w:r>
          </w:p>
          <w:p w:rsidR="00720C92" w:rsidRDefault="00720C92">
            <w:r>
              <w:t>Prions</w:t>
            </w:r>
          </w:p>
        </w:tc>
      </w:tr>
      <w:tr w:rsidR="002E4AFC" w:rsidTr="002E4AFC">
        <w:tc>
          <w:tcPr>
            <w:tcW w:w="1098" w:type="dxa"/>
          </w:tcPr>
          <w:p w:rsidR="002E4AFC" w:rsidRDefault="002E4AFC"/>
        </w:tc>
        <w:tc>
          <w:tcPr>
            <w:tcW w:w="8478" w:type="dxa"/>
          </w:tcPr>
          <w:p w:rsidR="002E4AFC" w:rsidRPr="00720C92" w:rsidRDefault="00720C92">
            <w:pPr>
              <w:rPr>
                <w:b/>
              </w:rPr>
            </w:pPr>
            <w:r w:rsidRPr="00720C92">
              <w:rPr>
                <w:b/>
              </w:rPr>
              <w:t>Exam 2</w:t>
            </w:r>
          </w:p>
        </w:tc>
      </w:tr>
      <w:tr w:rsidR="00720C92" w:rsidTr="002E4AFC">
        <w:tc>
          <w:tcPr>
            <w:tcW w:w="1098" w:type="dxa"/>
          </w:tcPr>
          <w:p w:rsidR="00720C92" w:rsidRPr="00DB01D3" w:rsidRDefault="00720C92" w:rsidP="00600D40">
            <w:r w:rsidRPr="00DB01D3">
              <w:t>11</w:t>
            </w:r>
          </w:p>
        </w:tc>
        <w:tc>
          <w:tcPr>
            <w:tcW w:w="8478" w:type="dxa"/>
          </w:tcPr>
          <w:p w:rsidR="00720C92" w:rsidRDefault="00720C92" w:rsidP="00600D40">
            <w:r w:rsidRPr="00DB01D3">
              <w:t>Toxic Phytochemicals</w:t>
            </w:r>
          </w:p>
          <w:p w:rsidR="00720C92" w:rsidRDefault="00720C92" w:rsidP="00600D40">
            <w:r>
              <w:t>Caffeine</w:t>
            </w:r>
          </w:p>
        </w:tc>
      </w:tr>
      <w:tr w:rsidR="002E4AFC" w:rsidTr="002E4AFC">
        <w:tc>
          <w:tcPr>
            <w:tcW w:w="1098" w:type="dxa"/>
          </w:tcPr>
          <w:p w:rsidR="002E4AFC" w:rsidRDefault="00720C92">
            <w:r>
              <w:t xml:space="preserve">12 </w:t>
            </w:r>
          </w:p>
        </w:tc>
        <w:tc>
          <w:tcPr>
            <w:tcW w:w="8478" w:type="dxa"/>
          </w:tcPr>
          <w:p w:rsidR="002E4AFC" w:rsidRDefault="00720C92">
            <w:r>
              <w:t>Food Contaminants</w:t>
            </w:r>
          </w:p>
          <w:p w:rsidR="00720C92" w:rsidRDefault="00720C92" w:rsidP="00720C92">
            <w:r>
              <w:t>Heavy metals and Mercury in the Human Food Chain</w:t>
            </w:r>
          </w:p>
        </w:tc>
      </w:tr>
      <w:tr w:rsidR="00720C92" w:rsidTr="002E4AFC">
        <w:tc>
          <w:tcPr>
            <w:tcW w:w="1098" w:type="dxa"/>
          </w:tcPr>
          <w:p w:rsidR="00720C92" w:rsidRDefault="00720C92">
            <w:r>
              <w:t>13</w:t>
            </w:r>
          </w:p>
        </w:tc>
        <w:tc>
          <w:tcPr>
            <w:tcW w:w="8478" w:type="dxa"/>
          </w:tcPr>
          <w:p w:rsidR="00720C92" w:rsidRDefault="00720C92">
            <w:r>
              <w:t>Pesticides</w:t>
            </w:r>
          </w:p>
          <w:p w:rsidR="00720C92" w:rsidRDefault="00720C92">
            <w:r>
              <w:t>Organophosphates</w:t>
            </w:r>
          </w:p>
        </w:tc>
      </w:tr>
      <w:tr w:rsidR="00720C92" w:rsidTr="002E4AFC">
        <w:tc>
          <w:tcPr>
            <w:tcW w:w="1098" w:type="dxa"/>
          </w:tcPr>
          <w:p w:rsidR="00720C92" w:rsidRDefault="00720C92">
            <w:r>
              <w:t>14</w:t>
            </w:r>
          </w:p>
        </w:tc>
        <w:tc>
          <w:tcPr>
            <w:tcW w:w="8478" w:type="dxa"/>
          </w:tcPr>
          <w:p w:rsidR="00720C92" w:rsidRDefault="00720C92">
            <w:r>
              <w:t>Food Additives</w:t>
            </w:r>
          </w:p>
          <w:p w:rsidR="00720C92" w:rsidRDefault="00720C92">
            <w:r>
              <w:t>Preservatives</w:t>
            </w:r>
          </w:p>
          <w:p w:rsidR="00720C92" w:rsidRDefault="00720C92">
            <w:r>
              <w:t>Antioxidants</w:t>
            </w:r>
          </w:p>
        </w:tc>
      </w:tr>
      <w:tr w:rsidR="00720C92" w:rsidTr="002E4AFC">
        <w:tc>
          <w:tcPr>
            <w:tcW w:w="1098" w:type="dxa"/>
          </w:tcPr>
          <w:p w:rsidR="00720C92" w:rsidRDefault="00720C92"/>
        </w:tc>
        <w:tc>
          <w:tcPr>
            <w:tcW w:w="8478" w:type="dxa"/>
          </w:tcPr>
          <w:p w:rsidR="00720C92" w:rsidRPr="00720C92" w:rsidRDefault="00720C92">
            <w:pPr>
              <w:rPr>
                <w:b/>
              </w:rPr>
            </w:pPr>
            <w:r w:rsidRPr="00720C92">
              <w:rPr>
                <w:b/>
              </w:rPr>
              <w:t>Final Exam</w:t>
            </w:r>
          </w:p>
        </w:tc>
      </w:tr>
    </w:tbl>
    <w:p w:rsidR="002E4AFC" w:rsidRPr="002E4AFC" w:rsidRDefault="002E4AFC"/>
    <w:p w:rsidR="005E7A23" w:rsidRDefault="005E7A23">
      <w:r>
        <w:br w:type="page"/>
      </w:r>
    </w:p>
    <w:p w:rsidR="005E7A23" w:rsidRDefault="005E7A23" w:rsidP="00DC4924">
      <w:r>
        <w:lastRenderedPageBreak/>
        <w:t>Grading Scheme: Based on a total of 400 points</w:t>
      </w:r>
    </w:p>
    <w:p w:rsidR="005E7A23" w:rsidRDefault="005E7A23" w:rsidP="005E7A23">
      <w:pPr>
        <w:spacing w:after="0" w:line="240" w:lineRule="auto"/>
        <w:ind w:firstLine="360"/>
      </w:pPr>
      <w:r>
        <w:t>Term exam 1</w:t>
      </w:r>
      <w:r>
        <w:tab/>
        <w:t>100 points</w:t>
      </w:r>
    </w:p>
    <w:p w:rsidR="005E7A23" w:rsidRDefault="005E7A23" w:rsidP="005E7A23">
      <w:pPr>
        <w:spacing w:after="0" w:line="240" w:lineRule="auto"/>
        <w:ind w:firstLine="360"/>
      </w:pPr>
      <w:r>
        <w:t>Term exam 2</w:t>
      </w:r>
      <w:r>
        <w:tab/>
        <w:t>100 points</w:t>
      </w:r>
    </w:p>
    <w:p w:rsidR="005E7A23" w:rsidRDefault="005E7A23" w:rsidP="005E7A23">
      <w:pPr>
        <w:spacing w:after="0" w:line="240" w:lineRule="auto"/>
        <w:ind w:firstLine="360"/>
      </w:pPr>
      <w:r>
        <w:t xml:space="preserve">Final exam </w:t>
      </w:r>
      <w:r>
        <w:tab/>
      </w:r>
      <w:r>
        <w:tab/>
        <w:t>100 points</w:t>
      </w:r>
    </w:p>
    <w:p w:rsidR="005E7A23" w:rsidRDefault="005E7A23" w:rsidP="005E7A23">
      <w:pPr>
        <w:spacing w:after="0" w:line="240" w:lineRule="auto"/>
        <w:ind w:firstLine="360"/>
      </w:pPr>
      <w:r>
        <w:t>Term paper</w:t>
      </w:r>
      <w:r>
        <w:tab/>
      </w:r>
      <w:r>
        <w:tab/>
        <w:t>50 points</w:t>
      </w:r>
    </w:p>
    <w:p w:rsidR="005E7A23" w:rsidRPr="005E7A23" w:rsidRDefault="005E7A23" w:rsidP="005E7A23">
      <w:pPr>
        <w:spacing w:after="0" w:line="240" w:lineRule="auto"/>
        <w:ind w:firstLine="360"/>
        <w:rPr>
          <w:u w:val="single"/>
        </w:rPr>
      </w:pPr>
      <w:r w:rsidRPr="005E7A23">
        <w:rPr>
          <w:u w:val="single"/>
        </w:rPr>
        <w:t>Participation</w:t>
      </w:r>
      <w:r w:rsidRPr="005E7A23">
        <w:rPr>
          <w:u w:val="single"/>
        </w:rPr>
        <w:tab/>
        <w:t>50 points</w:t>
      </w:r>
    </w:p>
    <w:p w:rsidR="005E7A23" w:rsidRPr="005E7A23" w:rsidRDefault="005E7A23" w:rsidP="005E7A23">
      <w:pPr>
        <w:spacing w:after="0" w:line="240" w:lineRule="auto"/>
        <w:ind w:firstLine="360"/>
        <w:rPr>
          <w:b/>
        </w:rPr>
      </w:pPr>
      <w:r w:rsidRPr="005E7A23">
        <w:rPr>
          <w:b/>
        </w:rPr>
        <w:t>Total</w:t>
      </w:r>
      <w:r w:rsidRPr="005E7A23">
        <w:rPr>
          <w:b/>
        </w:rPr>
        <w:tab/>
      </w:r>
      <w:r w:rsidRPr="005E7A23">
        <w:rPr>
          <w:b/>
        </w:rPr>
        <w:tab/>
        <w:t>400 points</w:t>
      </w:r>
    </w:p>
    <w:p w:rsidR="005E7A23" w:rsidRDefault="005E7A23" w:rsidP="005E7A23">
      <w:pPr>
        <w:spacing w:after="0" w:line="240" w:lineRule="auto"/>
      </w:pPr>
    </w:p>
    <w:p w:rsidR="002E4AFC" w:rsidRPr="002E4AFC" w:rsidRDefault="005E7A23" w:rsidP="002E4AFC">
      <w:pPr>
        <w:spacing w:line="240" w:lineRule="auto"/>
        <w:rPr>
          <w:b/>
        </w:rPr>
      </w:pPr>
      <w:r w:rsidRPr="002E4AFC">
        <w:rPr>
          <w:b/>
        </w:rPr>
        <w:t xml:space="preserve">Course Policies:  </w:t>
      </w:r>
    </w:p>
    <w:p w:rsidR="002E4AFC" w:rsidRPr="002E4AFC" w:rsidRDefault="002E4AFC" w:rsidP="002E4AFC">
      <w:pPr>
        <w:spacing w:after="0" w:line="240" w:lineRule="auto"/>
        <w:rPr>
          <w:b/>
        </w:rPr>
      </w:pPr>
      <w:r w:rsidRPr="002E4AFC">
        <w:rPr>
          <w:b/>
        </w:rPr>
        <w:t xml:space="preserve">Attendance:  </w:t>
      </w:r>
    </w:p>
    <w:p w:rsidR="005E7A23" w:rsidRDefault="005E7A23" w:rsidP="002E4AFC">
      <w:pPr>
        <w:spacing w:after="0" w:line="240" w:lineRule="auto"/>
      </w:pPr>
      <w:r>
        <w:t>Regular attendance is expected for discussions and participation.</w:t>
      </w:r>
    </w:p>
    <w:p w:rsidR="002E4AFC" w:rsidRDefault="002E4AFC" w:rsidP="002E4AFC">
      <w:pPr>
        <w:spacing w:after="0" w:line="240" w:lineRule="auto"/>
      </w:pPr>
    </w:p>
    <w:p w:rsidR="005E7A23" w:rsidRPr="002E4AFC" w:rsidRDefault="005E7A23" w:rsidP="002E4AFC">
      <w:pPr>
        <w:spacing w:after="0" w:line="240" w:lineRule="auto"/>
        <w:rPr>
          <w:b/>
        </w:rPr>
      </w:pPr>
      <w:r w:rsidRPr="002E4AFC">
        <w:rPr>
          <w:b/>
        </w:rPr>
        <w:t xml:space="preserve">Department Policy on Cheating:  </w:t>
      </w:r>
    </w:p>
    <w:p w:rsidR="005E7A23" w:rsidRPr="002E4AFC" w:rsidRDefault="005E7A23" w:rsidP="002E4AFC">
      <w:pPr>
        <w:spacing w:after="0" w:line="240" w:lineRule="auto"/>
        <w:rPr>
          <w:i/>
        </w:rPr>
      </w:pPr>
      <w:r>
        <w:t xml:space="preserve">The Chemistry &amp; Biochemistry Department Policy on Cheating is:  </w:t>
      </w:r>
      <w:r w:rsidRPr="002E4AFC">
        <w:rPr>
          <w:i/>
        </w:rPr>
        <w:t xml:space="preserve">“Any student caught cheating will be assigned a course grade of F.  The student’s academic advisor will be notified of this failing grade and the student will not be allowed to drop the course.”  </w:t>
      </w:r>
    </w:p>
    <w:p w:rsidR="005E7A23" w:rsidRDefault="005E7A23" w:rsidP="002E4AFC">
      <w:pPr>
        <w:spacing w:after="0" w:line="240" w:lineRule="auto"/>
      </w:pPr>
    </w:p>
    <w:p w:rsidR="002E4AFC" w:rsidRPr="002E4AFC" w:rsidRDefault="002E4AFC" w:rsidP="002E4AFC">
      <w:pPr>
        <w:spacing w:after="0" w:line="240" w:lineRule="auto"/>
        <w:rPr>
          <w:b/>
        </w:rPr>
      </w:pPr>
      <w:r w:rsidRPr="002E4AFC">
        <w:rPr>
          <w:b/>
        </w:rPr>
        <w:t>Plagiarism:</w:t>
      </w:r>
    </w:p>
    <w:p w:rsidR="002E4AFC" w:rsidRDefault="002E4AFC" w:rsidP="002E4AFC">
      <w:pPr>
        <w:spacing w:after="0" w:line="240" w:lineRule="auto"/>
      </w:pPr>
      <w:r>
        <w:t xml:space="preserve">Plagiarism is defined as the use of “other” intellectual property without proper reference to the original author.  Intellectual property includes all electronic (internet0, spoken or print media.  Students are expected to cite all sources used in oral and written presentations.  Cases of plagiarism will be taken seriously with a grade of 0 for the particular assignment.  Severe cases may be referred to the Department Chair or Dean.  Class failing will be considered.  </w:t>
      </w:r>
    </w:p>
    <w:p w:rsidR="002E4AFC" w:rsidRDefault="002E4AFC" w:rsidP="002E4AFC">
      <w:pPr>
        <w:spacing w:after="0" w:line="240" w:lineRule="auto"/>
      </w:pPr>
    </w:p>
    <w:p w:rsidR="005E7A23" w:rsidRPr="002E4AFC" w:rsidRDefault="005E7A23" w:rsidP="002E4AFC">
      <w:pPr>
        <w:spacing w:after="0" w:line="240" w:lineRule="auto"/>
        <w:rPr>
          <w:b/>
        </w:rPr>
      </w:pPr>
      <w:r w:rsidRPr="002E4AFC">
        <w:rPr>
          <w:b/>
        </w:rPr>
        <w:t xml:space="preserve">Disabilities:   </w:t>
      </w:r>
    </w:p>
    <w:p w:rsidR="005E7A23" w:rsidRDefault="005E7A23" w:rsidP="002E4AFC">
      <w:pPr>
        <w:spacing w:after="0" w:line="240" w:lineRule="auto"/>
      </w:pPr>
      <w:r>
        <w:t>Students with a physical or learning disability are required to identify themselves to Mary Matthews in the Disability Services office, located in the Center for Health and Counseling in order to receive special accommodations.  The student must provide documentation of the disability.  Disability Services will then notify me of special arrangements for taking tests, working homework assignments, and doing lab work.</w:t>
      </w:r>
    </w:p>
    <w:p w:rsidR="005E7A23" w:rsidRDefault="005E7A23" w:rsidP="002E4AFC">
      <w:pPr>
        <w:spacing w:after="0" w:line="240" w:lineRule="auto"/>
      </w:pPr>
    </w:p>
    <w:p w:rsidR="005E7A23" w:rsidRPr="002E4AFC" w:rsidRDefault="005E7A23" w:rsidP="002E4AFC">
      <w:pPr>
        <w:spacing w:after="0" w:line="240" w:lineRule="auto"/>
        <w:rPr>
          <w:b/>
        </w:rPr>
      </w:pPr>
      <w:r w:rsidRPr="002E4AFC">
        <w:rPr>
          <w:b/>
        </w:rPr>
        <w:t xml:space="preserve">Support Services:  </w:t>
      </w:r>
    </w:p>
    <w:p w:rsidR="005E7A23" w:rsidRDefault="005E7A23" w:rsidP="002E4AFC">
      <w:pPr>
        <w:spacing w:after="0" w:line="240" w:lineRule="auto"/>
      </w:pPr>
      <w:r>
        <w:t xml:space="preserve">Support Services will be provided by the University of Alaska Library System, online resources and the instructor.  Additional services are available through Student Support Services </w:t>
      </w:r>
      <w:hyperlink r:id="rId8" w:history="1">
        <w:r w:rsidRPr="005750D8">
          <w:rPr>
            <w:rStyle w:val="Hyperlink"/>
          </w:rPr>
          <w:t>http://www.uaf.edu/sssp/</w:t>
        </w:r>
      </w:hyperlink>
      <w:r>
        <w:t xml:space="preserve"> </w:t>
      </w:r>
    </w:p>
    <w:p w:rsidR="002E4AFC" w:rsidRDefault="002E4AFC" w:rsidP="002E4AFC">
      <w:pPr>
        <w:spacing w:after="0" w:line="240" w:lineRule="auto"/>
      </w:pPr>
    </w:p>
    <w:p w:rsidR="002E4AFC" w:rsidRDefault="002E4AFC" w:rsidP="002E4AFC">
      <w:pPr>
        <w:spacing w:after="0" w:line="240" w:lineRule="auto"/>
      </w:pPr>
      <w:r>
        <w:t>Consult the UAF academic calendar for final exam and other important dates.</w:t>
      </w:r>
    </w:p>
    <w:sectPr w:rsidR="002E4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25BA"/>
    <w:multiLevelType w:val="hybridMultilevel"/>
    <w:tmpl w:val="27BA6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24"/>
    <w:rsid w:val="002E4AFC"/>
    <w:rsid w:val="005E7A23"/>
    <w:rsid w:val="00720C92"/>
    <w:rsid w:val="00936720"/>
    <w:rsid w:val="00A31EC6"/>
    <w:rsid w:val="00DC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924"/>
    <w:rPr>
      <w:color w:val="0000FF" w:themeColor="hyperlink"/>
      <w:u w:val="single"/>
    </w:rPr>
  </w:style>
  <w:style w:type="paragraph" w:styleId="ListParagraph">
    <w:name w:val="List Paragraph"/>
    <w:basedOn w:val="Normal"/>
    <w:uiPriority w:val="34"/>
    <w:qFormat/>
    <w:rsid w:val="005E7A23"/>
    <w:pPr>
      <w:ind w:left="720"/>
      <w:contextualSpacing/>
    </w:pPr>
  </w:style>
  <w:style w:type="table" w:styleId="TableGrid">
    <w:name w:val="Table Grid"/>
    <w:basedOn w:val="TableNormal"/>
    <w:uiPriority w:val="59"/>
    <w:rsid w:val="002E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924"/>
    <w:rPr>
      <w:color w:val="0000FF" w:themeColor="hyperlink"/>
      <w:u w:val="single"/>
    </w:rPr>
  </w:style>
  <w:style w:type="paragraph" w:styleId="ListParagraph">
    <w:name w:val="List Paragraph"/>
    <w:basedOn w:val="Normal"/>
    <w:uiPriority w:val="34"/>
    <w:qFormat/>
    <w:rsid w:val="005E7A23"/>
    <w:pPr>
      <w:ind w:left="720"/>
      <w:contextualSpacing/>
    </w:pPr>
  </w:style>
  <w:style w:type="table" w:styleId="TableGrid">
    <w:name w:val="Table Grid"/>
    <w:basedOn w:val="TableNormal"/>
    <w:uiPriority w:val="59"/>
    <w:rsid w:val="002E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f.edu/sssp/" TargetMode="External"/><Relationship Id="rId3" Type="http://schemas.microsoft.com/office/2007/relationships/stylesWithEffects" Target="stylesWithEffects.xml"/><Relationship Id="rId7" Type="http://schemas.openxmlformats.org/officeDocument/2006/relationships/hyperlink" Target="mailto:bluick@alask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kduffy@alaska.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 Van Muelken</dc:creator>
  <cp:lastModifiedBy>Ellen A Craig</cp:lastModifiedBy>
  <cp:revision>2</cp:revision>
  <dcterms:created xsi:type="dcterms:W3CDTF">2015-09-26T00:10:00Z</dcterms:created>
  <dcterms:modified xsi:type="dcterms:W3CDTF">2015-09-26T00:10:00Z</dcterms:modified>
</cp:coreProperties>
</file>