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ED" w:rsidRPr="0008525B" w:rsidRDefault="007308ED" w:rsidP="007308ED">
      <w:pPr>
        <w:tabs>
          <w:tab w:val="left" w:pos="0"/>
          <w:tab w:val="left" w:pos="720"/>
          <w:tab w:val="left" w:pos="900"/>
        </w:tabs>
        <w:spacing w:line="36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Chem</w:t>
      </w:r>
      <w:proofErr w:type="spellEnd"/>
      <w:r>
        <w:rPr>
          <w:b/>
          <w:sz w:val="28"/>
          <w:szCs w:val="28"/>
        </w:rPr>
        <w:t xml:space="preserve"> F675</w:t>
      </w:r>
    </w:p>
    <w:p w:rsidR="007308ED" w:rsidRPr="0008525B" w:rsidRDefault="007308ED" w:rsidP="007308ED">
      <w:pPr>
        <w:tabs>
          <w:tab w:val="left" w:pos="900"/>
        </w:tabs>
        <w:spacing w:line="360" w:lineRule="auto"/>
        <w:jc w:val="center"/>
        <w:rPr>
          <w:b/>
          <w:sz w:val="28"/>
          <w:szCs w:val="28"/>
        </w:rPr>
      </w:pPr>
      <w:r w:rsidRPr="0008525B">
        <w:rPr>
          <w:b/>
          <w:sz w:val="28"/>
          <w:szCs w:val="28"/>
        </w:rPr>
        <w:t>Cellular Signaling</w:t>
      </w:r>
    </w:p>
    <w:p w:rsidR="007308ED" w:rsidRPr="0008525B" w:rsidRDefault="007308ED" w:rsidP="007308ED">
      <w:pPr>
        <w:tabs>
          <w:tab w:val="left" w:pos="900"/>
        </w:tabs>
        <w:spacing w:line="360" w:lineRule="auto"/>
        <w:jc w:val="center"/>
        <w:rPr>
          <w:b/>
          <w:sz w:val="28"/>
          <w:szCs w:val="28"/>
        </w:rPr>
      </w:pPr>
      <w:r w:rsidRPr="0008525B">
        <w:rPr>
          <w:b/>
          <w:sz w:val="28"/>
          <w:szCs w:val="28"/>
        </w:rPr>
        <w:t>“Biochemistry of Signal Transduction and Regulation”</w:t>
      </w:r>
    </w:p>
    <w:p w:rsidR="007308ED" w:rsidRDefault="007308ED" w:rsidP="007308ED">
      <w:pPr>
        <w:tabs>
          <w:tab w:val="left" w:pos="0"/>
          <w:tab w:val="left" w:pos="720"/>
          <w:tab w:val="left" w:pos="900"/>
        </w:tabs>
        <w:jc w:val="center"/>
        <w:rPr>
          <w:b/>
        </w:rPr>
      </w:pPr>
    </w:p>
    <w:p w:rsidR="007308ED" w:rsidRDefault="007308ED" w:rsidP="007308ED">
      <w:pPr>
        <w:tabs>
          <w:tab w:val="left" w:pos="0"/>
          <w:tab w:val="left" w:pos="720"/>
          <w:tab w:val="left" w:pos="900"/>
        </w:tabs>
      </w:pPr>
      <w:r w:rsidRPr="00DA383E">
        <w:rPr>
          <w:b/>
        </w:rPr>
        <w:t>Instructor</w:t>
      </w:r>
      <w:r>
        <w:rPr>
          <w:b/>
        </w:rPr>
        <w:t xml:space="preserve">:  </w:t>
      </w:r>
      <w:r>
        <w:rPr>
          <w:b/>
        </w:rPr>
        <w:tab/>
      </w:r>
      <w:r>
        <w:rPr>
          <w:b/>
        </w:rPr>
        <w:tab/>
      </w:r>
      <w:r>
        <w:t>Thomas</w:t>
      </w:r>
      <w:r w:rsidRPr="00DA383E">
        <w:t xml:space="preserve"> </w:t>
      </w:r>
      <w:r>
        <w:t>Kuhn,</w:t>
      </w:r>
      <w:r w:rsidRPr="00165080">
        <w:t xml:space="preserve"> </w:t>
      </w:r>
      <w:r>
        <w:t xml:space="preserve">474-5752, </w:t>
      </w:r>
      <w:hyperlink r:id="rId8" w:history="1">
        <w:r w:rsidRPr="00305F25">
          <w:rPr>
            <w:rStyle w:val="Hyperlink"/>
          </w:rPr>
          <w:t>tbkuhn@alaska.edu</w:t>
        </w:r>
      </w:hyperlink>
    </w:p>
    <w:p w:rsidR="007308ED" w:rsidRDefault="007308ED" w:rsidP="007308ED">
      <w:pPr>
        <w:tabs>
          <w:tab w:val="left" w:pos="0"/>
          <w:tab w:val="left" w:pos="720"/>
          <w:tab w:val="left" w:pos="900"/>
        </w:tabs>
      </w:pPr>
      <w:r>
        <w:tab/>
      </w:r>
      <w:r>
        <w:tab/>
      </w:r>
      <w:r>
        <w:tab/>
      </w:r>
      <w:r>
        <w:tab/>
      </w:r>
      <w:r w:rsidRPr="00DA383E">
        <w:t>Department of Chemistry and Biochemistry</w:t>
      </w:r>
    </w:p>
    <w:p w:rsidR="007308ED" w:rsidRDefault="007308ED" w:rsidP="007308ED">
      <w:pPr>
        <w:tabs>
          <w:tab w:val="left" w:pos="0"/>
          <w:tab w:val="left" w:pos="2160"/>
        </w:tabs>
      </w:pPr>
      <w:r>
        <w:tab/>
      </w:r>
      <w:proofErr w:type="spellStart"/>
      <w:r w:rsidR="006A03E1">
        <w:t>Reichardt</w:t>
      </w:r>
      <w:proofErr w:type="spellEnd"/>
      <w:r w:rsidR="006A03E1">
        <w:t xml:space="preserve"> Building</w:t>
      </w:r>
      <w:r w:rsidR="00802B10">
        <w:t xml:space="preserve"> 184</w:t>
      </w:r>
    </w:p>
    <w:p w:rsidR="007308ED" w:rsidRDefault="007308ED" w:rsidP="007308ED">
      <w:pPr>
        <w:tabs>
          <w:tab w:val="left" w:pos="0"/>
          <w:tab w:val="left" w:pos="720"/>
          <w:tab w:val="left" w:pos="900"/>
        </w:tabs>
        <w:rPr>
          <w:b/>
        </w:rPr>
      </w:pPr>
    </w:p>
    <w:p w:rsidR="007308ED" w:rsidRDefault="007308ED" w:rsidP="007308ED">
      <w:pPr>
        <w:tabs>
          <w:tab w:val="left" w:pos="0"/>
          <w:tab w:val="left" w:pos="720"/>
          <w:tab w:val="left" w:pos="900"/>
        </w:tabs>
        <w:rPr>
          <w:b/>
        </w:rPr>
      </w:pPr>
      <w:r w:rsidRPr="006A03E1">
        <w:rPr>
          <w:b/>
        </w:rPr>
        <w:t>Office Hours:</w:t>
      </w:r>
      <w:r w:rsidRPr="006A03E1">
        <w:tab/>
      </w:r>
      <w:r w:rsidRPr="006A03E1">
        <w:tab/>
      </w:r>
      <w:r w:rsidR="00CD4ACC">
        <w:t>please contact via phone or email</w:t>
      </w:r>
    </w:p>
    <w:p w:rsidR="007308ED" w:rsidRPr="00DA383E" w:rsidRDefault="007308ED" w:rsidP="007308ED">
      <w:pPr>
        <w:tabs>
          <w:tab w:val="left" w:pos="0"/>
          <w:tab w:val="left" w:pos="720"/>
          <w:tab w:val="left" w:pos="900"/>
        </w:tabs>
        <w:rPr>
          <w:b/>
        </w:rPr>
      </w:pPr>
    </w:p>
    <w:p w:rsidR="007308ED" w:rsidRDefault="007308ED" w:rsidP="007308ED">
      <w:pPr>
        <w:tabs>
          <w:tab w:val="left" w:pos="0"/>
          <w:tab w:val="left" w:pos="2160"/>
        </w:tabs>
        <w:rPr>
          <w:b/>
        </w:rPr>
      </w:pPr>
      <w:r w:rsidRPr="00DA383E">
        <w:rPr>
          <w:b/>
        </w:rPr>
        <w:t>Lecture:</w:t>
      </w:r>
      <w:r w:rsidRPr="00DA383E">
        <w:t xml:space="preserve">  </w:t>
      </w:r>
      <w:r w:rsidRPr="00DA383E">
        <w:tab/>
        <w:t xml:space="preserve">Tuesdays, Thursdays, </w:t>
      </w:r>
      <w:r w:rsidR="00184EAE">
        <w:t>11</w:t>
      </w:r>
      <w:r w:rsidR="00CD4ACC" w:rsidRPr="006A03E1">
        <w:t>:</w:t>
      </w:r>
      <w:r w:rsidR="00184EAE">
        <w:t>3</w:t>
      </w:r>
      <w:r w:rsidR="00CD4ACC" w:rsidRPr="006A03E1">
        <w:t xml:space="preserve">0 </w:t>
      </w:r>
      <w:r w:rsidR="00CD4ACC">
        <w:t xml:space="preserve">am </w:t>
      </w:r>
      <w:r w:rsidRPr="00DA383E">
        <w:t xml:space="preserve">– </w:t>
      </w:r>
      <w:r w:rsidR="00184EAE">
        <w:t>01</w:t>
      </w:r>
      <w:r w:rsidR="00CD4ACC" w:rsidRPr="006A03E1">
        <w:t>:</w:t>
      </w:r>
      <w:r w:rsidR="00184EAE">
        <w:t>0</w:t>
      </w:r>
      <w:r w:rsidR="00CD4ACC" w:rsidRPr="006A03E1">
        <w:t xml:space="preserve">0 </w:t>
      </w:r>
      <w:r w:rsidR="00CD4ACC">
        <w:t>a</w:t>
      </w:r>
      <w:r w:rsidR="00CD4ACC" w:rsidRPr="006A03E1">
        <w:t>m</w:t>
      </w:r>
      <w:r w:rsidRPr="00DA383E">
        <w:t xml:space="preserve">, REIC </w:t>
      </w:r>
      <w:r w:rsidR="00184EAE">
        <w:t>204</w:t>
      </w:r>
      <w:bookmarkStart w:id="0" w:name="_GoBack"/>
      <w:bookmarkEnd w:id="0"/>
    </w:p>
    <w:p w:rsidR="007308ED" w:rsidRPr="00DA383E" w:rsidRDefault="007308ED" w:rsidP="007308ED">
      <w:pPr>
        <w:tabs>
          <w:tab w:val="left" w:pos="0"/>
          <w:tab w:val="left" w:pos="720"/>
          <w:tab w:val="left" w:pos="900"/>
        </w:tabs>
      </w:pPr>
    </w:p>
    <w:p w:rsidR="007308ED" w:rsidRPr="00702390" w:rsidRDefault="007308ED" w:rsidP="007308ED">
      <w:pPr>
        <w:tabs>
          <w:tab w:val="left" w:pos="0"/>
          <w:tab w:val="left" w:pos="2160"/>
        </w:tabs>
        <w:rPr>
          <w:b/>
          <w:i/>
        </w:rPr>
      </w:pPr>
      <w:r>
        <w:rPr>
          <w:b/>
        </w:rPr>
        <w:t>Text:</w:t>
      </w:r>
      <w:r>
        <w:rPr>
          <w:b/>
        </w:rPr>
        <w:tab/>
      </w:r>
      <w:r w:rsidRPr="00702390">
        <w:rPr>
          <w:b/>
          <w:i/>
        </w:rPr>
        <w:t>Signal Transduction</w:t>
      </w:r>
    </w:p>
    <w:p w:rsidR="007308ED" w:rsidRPr="00702390" w:rsidRDefault="007308ED" w:rsidP="007308ED">
      <w:pPr>
        <w:tabs>
          <w:tab w:val="left" w:pos="2160"/>
        </w:tabs>
        <w:rPr>
          <w:bCs/>
        </w:rPr>
      </w:pPr>
      <w:r w:rsidRPr="00702390">
        <w:rPr>
          <w:bCs/>
        </w:rPr>
        <w:tab/>
      </w:r>
      <w:proofErr w:type="spellStart"/>
      <w:r w:rsidRPr="00702390">
        <w:rPr>
          <w:bCs/>
        </w:rPr>
        <w:t>Gomperts</w:t>
      </w:r>
      <w:proofErr w:type="spellEnd"/>
      <w:r w:rsidRPr="00702390">
        <w:rPr>
          <w:bCs/>
        </w:rPr>
        <w:t xml:space="preserve"> BD, Kramer IM, </w:t>
      </w:r>
      <w:proofErr w:type="spellStart"/>
      <w:r w:rsidRPr="00702390">
        <w:rPr>
          <w:bCs/>
        </w:rPr>
        <w:t>Tatham</w:t>
      </w:r>
      <w:proofErr w:type="spellEnd"/>
      <w:r w:rsidRPr="00702390">
        <w:rPr>
          <w:bCs/>
        </w:rPr>
        <w:t xml:space="preserve"> PER</w:t>
      </w:r>
    </w:p>
    <w:p w:rsidR="007308ED" w:rsidRPr="00702390" w:rsidRDefault="007308ED" w:rsidP="007308ED">
      <w:pPr>
        <w:tabs>
          <w:tab w:val="left" w:pos="2160"/>
        </w:tabs>
        <w:rPr>
          <w:bCs/>
        </w:rPr>
      </w:pPr>
      <w:r w:rsidRPr="00702390">
        <w:rPr>
          <w:bCs/>
        </w:rPr>
        <w:tab/>
        <w:t>2</w:t>
      </w:r>
      <w:r w:rsidRPr="00702390">
        <w:rPr>
          <w:bCs/>
          <w:vertAlign w:val="superscript"/>
        </w:rPr>
        <w:t>nd</w:t>
      </w:r>
      <w:r w:rsidRPr="00702390">
        <w:rPr>
          <w:bCs/>
        </w:rPr>
        <w:t xml:space="preserve"> Edition, Academic Press 2009</w:t>
      </w:r>
    </w:p>
    <w:p w:rsidR="007308ED" w:rsidRPr="00702390" w:rsidRDefault="007308ED" w:rsidP="007308ED">
      <w:pPr>
        <w:tabs>
          <w:tab w:val="left" w:pos="2160"/>
        </w:tabs>
        <w:rPr>
          <w:bCs/>
        </w:rPr>
      </w:pPr>
      <w:r w:rsidRPr="00702390">
        <w:rPr>
          <w:bCs/>
        </w:rPr>
        <w:tab/>
        <w:t>ISBN 978-0-12-369441-6</w:t>
      </w:r>
    </w:p>
    <w:p w:rsidR="007308ED" w:rsidRPr="00702390" w:rsidRDefault="007308ED" w:rsidP="007308ED">
      <w:pPr>
        <w:tabs>
          <w:tab w:val="left" w:pos="2160"/>
        </w:tabs>
        <w:rPr>
          <w:bCs/>
        </w:rPr>
      </w:pPr>
    </w:p>
    <w:p w:rsidR="007308ED" w:rsidRDefault="007308ED" w:rsidP="007308ED">
      <w:r>
        <w:rPr>
          <w:b/>
          <w:bCs/>
        </w:rPr>
        <w:t>Course:</w:t>
      </w:r>
    </w:p>
    <w:p w:rsidR="007308ED" w:rsidRPr="00772404" w:rsidRDefault="007308ED" w:rsidP="007308ED">
      <w:pPr>
        <w:rPr>
          <w:bCs/>
        </w:rPr>
      </w:pPr>
      <w:r>
        <w:t xml:space="preserve">This </w:t>
      </w:r>
      <w:proofErr w:type="gramStart"/>
      <w:r>
        <w:t>3 credit</w:t>
      </w:r>
      <w:proofErr w:type="gramEnd"/>
      <w:r>
        <w:t xml:space="preserve"> course </w:t>
      </w:r>
      <w:r w:rsidRPr="00CE66EE">
        <w:rPr>
          <w:bCs/>
        </w:rPr>
        <w:t xml:space="preserve">will concentrate </w:t>
      </w:r>
      <w:r>
        <w:t xml:space="preserve">on </w:t>
      </w:r>
      <w:r w:rsidRPr="00CE66EE">
        <w:rPr>
          <w:bCs/>
        </w:rPr>
        <w:t xml:space="preserve">cellular signal transduction and regulation </w:t>
      </w:r>
      <w:r w:rsidR="006A03E1">
        <w:rPr>
          <w:bCs/>
        </w:rPr>
        <w:t xml:space="preserve">focusing on </w:t>
      </w:r>
      <w:proofErr w:type="spellStart"/>
      <w:r w:rsidR="006A03E1">
        <w:rPr>
          <w:bCs/>
        </w:rPr>
        <w:t>nanoprocessing</w:t>
      </w:r>
      <w:proofErr w:type="spellEnd"/>
      <w:r w:rsidR="006A03E1">
        <w:rPr>
          <w:bCs/>
        </w:rPr>
        <w:t xml:space="preserve"> of biological information</w:t>
      </w:r>
      <w:r w:rsidRPr="00CE66EE">
        <w:rPr>
          <w:bCs/>
        </w:rPr>
        <w:t xml:space="preserve">.  Cellular signaling is of vital importance in complex </w:t>
      </w:r>
      <w:proofErr w:type="spellStart"/>
      <w:r w:rsidRPr="00CE66EE">
        <w:rPr>
          <w:bCs/>
        </w:rPr>
        <w:t>biomolecular</w:t>
      </w:r>
      <w:proofErr w:type="spellEnd"/>
      <w:r w:rsidRPr="00CE66EE">
        <w:rPr>
          <w:bCs/>
        </w:rPr>
        <w:t xml:space="preserve"> systems, development, physiology, and pathology and thus, constitutes a major topic in modern medical and pharmacological research. </w:t>
      </w:r>
      <w:r w:rsidR="00802B10">
        <w:rPr>
          <w:bCs/>
        </w:rPr>
        <w:t xml:space="preserve">The </w:t>
      </w:r>
      <w:proofErr w:type="spellStart"/>
      <w:r w:rsidR="00802B10">
        <w:rPr>
          <w:bCs/>
        </w:rPr>
        <w:t>heterotrimeric</w:t>
      </w:r>
      <w:proofErr w:type="spellEnd"/>
      <w:r w:rsidR="00802B10">
        <w:rPr>
          <w:bCs/>
        </w:rPr>
        <w:t xml:space="preserve"> G protein-coupled receptor systems and receptor tyrosine kinase receptor systems will serve as the </w:t>
      </w:r>
      <w:proofErr w:type="gramStart"/>
      <w:r w:rsidR="00802B10">
        <w:rPr>
          <w:bCs/>
        </w:rPr>
        <w:t>best studied</w:t>
      </w:r>
      <w:proofErr w:type="gramEnd"/>
      <w:r w:rsidR="00802B10">
        <w:rPr>
          <w:bCs/>
        </w:rPr>
        <w:t xml:space="preserve"> examples to go into sufficient depth of cellular signaling. </w:t>
      </w:r>
      <w:r w:rsidRPr="00772404">
        <w:rPr>
          <w:bCs/>
        </w:rPr>
        <w:t>The suggested textbook serves as a basic reference.  Course material is exclusively composed of review articles and primary research literature pertinent to the topics</w:t>
      </w:r>
      <w:r w:rsidR="00802B10">
        <w:rPr>
          <w:bCs/>
        </w:rPr>
        <w:t xml:space="preserve"> and the text</w:t>
      </w:r>
      <w:r w:rsidR="006A03E1">
        <w:rPr>
          <w:bCs/>
        </w:rPr>
        <w:t>book serves as a reference</w:t>
      </w:r>
      <w:r w:rsidRPr="00772404">
        <w:rPr>
          <w:bCs/>
        </w:rPr>
        <w:t>.  All material will be distributed on a timely basis. Individual assignments will be distributed throughout the course of the semester.</w:t>
      </w:r>
    </w:p>
    <w:p w:rsidR="007308ED" w:rsidRPr="00CE66EE" w:rsidRDefault="007308ED" w:rsidP="007308ED">
      <w:pPr>
        <w:rPr>
          <w:bCs/>
        </w:rPr>
      </w:pPr>
    </w:p>
    <w:p w:rsidR="007308ED" w:rsidRPr="00AE3783" w:rsidRDefault="007308ED" w:rsidP="007308ED">
      <w:pPr>
        <w:rPr>
          <w:b/>
          <w:bCs/>
        </w:rPr>
      </w:pPr>
      <w:r w:rsidRPr="00AE3783">
        <w:rPr>
          <w:b/>
          <w:bCs/>
        </w:rPr>
        <w:t>Course Goals:</w:t>
      </w:r>
    </w:p>
    <w:p w:rsidR="007308ED" w:rsidRPr="00CE66EE" w:rsidRDefault="007308ED" w:rsidP="007308ED">
      <w:pPr>
        <w:rPr>
          <w:bCs/>
        </w:rPr>
      </w:pPr>
      <w:r w:rsidRPr="00AE3783">
        <w:rPr>
          <w:bCs/>
        </w:rPr>
        <w:t xml:space="preserve">This course provides 1) an understanding of the basic </w:t>
      </w:r>
      <w:r w:rsidR="00AE3783" w:rsidRPr="00AE3783">
        <w:rPr>
          <w:bCs/>
        </w:rPr>
        <w:t xml:space="preserve">molecular </w:t>
      </w:r>
      <w:r w:rsidRPr="00AE3783">
        <w:rPr>
          <w:bCs/>
        </w:rPr>
        <w:t>principles of intra- and intercellular signaling (</w:t>
      </w:r>
      <w:proofErr w:type="spellStart"/>
      <w:r w:rsidRPr="00AE3783">
        <w:rPr>
          <w:bCs/>
        </w:rPr>
        <w:t>nanoprocessing</w:t>
      </w:r>
      <w:proofErr w:type="spellEnd"/>
      <w:r w:rsidR="00AE3783" w:rsidRPr="00AE3783">
        <w:rPr>
          <w:bCs/>
        </w:rPr>
        <w:t>,</w:t>
      </w:r>
      <w:r w:rsidRPr="00AE3783">
        <w:rPr>
          <w:bCs/>
        </w:rPr>
        <w:t xml:space="preserve"> </w:t>
      </w:r>
      <w:r w:rsidR="00AE3783" w:rsidRPr="00AE3783">
        <w:rPr>
          <w:bCs/>
        </w:rPr>
        <w:t>amplification, specificity), and</w:t>
      </w:r>
      <w:r w:rsidRPr="00AE3783">
        <w:rPr>
          <w:bCs/>
        </w:rPr>
        <w:t xml:space="preserve"> 2) a perspective of signaling process in the context of major cellular processes and their relation to diseases such as cancer.  The underlying theme of structure-function relationships of proteins strongly emphasizes these aspects in the context of </w:t>
      </w:r>
      <w:r w:rsidRPr="002E0EA2">
        <w:rPr>
          <w:bCs/>
        </w:rPr>
        <w:t>signaling.</w:t>
      </w:r>
    </w:p>
    <w:p w:rsidR="007308ED" w:rsidRDefault="007308ED" w:rsidP="007308ED">
      <w:pPr>
        <w:tabs>
          <w:tab w:val="left" w:pos="720"/>
        </w:tabs>
        <w:rPr>
          <w:b/>
          <w:bCs/>
        </w:rPr>
      </w:pPr>
    </w:p>
    <w:p w:rsidR="007308ED" w:rsidRDefault="007308ED" w:rsidP="007308ED">
      <w:pPr>
        <w:rPr>
          <w:b/>
          <w:bCs/>
        </w:rPr>
      </w:pPr>
      <w:r>
        <w:rPr>
          <w:b/>
        </w:rPr>
        <w:t>Learning Outcomes</w:t>
      </w:r>
      <w:r>
        <w:rPr>
          <w:b/>
          <w:bCs/>
        </w:rPr>
        <w:tab/>
      </w:r>
    </w:p>
    <w:p w:rsidR="002E0EA2" w:rsidRDefault="007308ED" w:rsidP="007308ED">
      <w:pPr>
        <w:numPr>
          <w:ilvl w:val="0"/>
          <w:numId w:val="7"/>
        </w:numPr>
        <w:tabs>
          <w:tab w:val="clear" w:pos="1152"/>
          <w:tab w:val="left" w:pos="720"/>
        </w:tabs>
        <w:ind w:left="720" w:hanging="360"/>
        <w:rPr>
          <w:bCs/>
        </w:rPr>
      </w:pPr>
      <w:r>
        <w:t>Understand</w:t>
      </w:r>
      <w:r w:rsidR="002E0EA2">
        <w:t xml:space="preserve"> </w:t>
      </w:r>
      <w:proofErr w:type="spellStart"/>
      <w:r w:rsidR="002E0EA2">
        <w:t>nanoprocessing</w:t>
      </w:r>
      <w:proofErr w:type="spellEnd"/>
      <w:r w:rsidR="002E0EA2">
        <w:t xml:space="preserve">; integration of </w:t>
      </w:r>
      <w:r w:rsidR="002E0EA2">
        <w:rPr>
          <w:bCs/>
        </w:rPr>
        <w:t>structure/function relations</w:t>
      </w:r>
    </w:p>
    <w:p w:rsidR="007308ED" w:rsidRPr="003133BE" w:rsidRDefault="002E0EA2" w:rsidP="007308ED">
      <w:pPr>
        <w:numPr>
          <w:ilvl w:val="0"/>
          <w:numId w:val="7"/>
        </w:numPr>
        <w:tabs>
          <w:tab w:val="clear" w:pos="1152"/>
          <w:tab w:val="left" w:pos="720"/>
        </w:tabs>
        <w:ind w:left="720" w:hanging="360"/>
        <w:rPr>
          <w:bCs/>
        </w:rPr>
      </w:pPr>
      <w:r>
        <w:rPr>
          <w:bCs/>
        </w:rPr>
        <w:t xml:space="preserve">Signal </w:t>
      </w:r>
      <w:r w:rsidR="007308ED">
        <w:t>specificity and amplification</w:t>
      </w:r>
    </w:p>
    <w:p w:rsidR="007308ED" w:rsidRDefault="002E0EA2" w:rsidP="007308ED">
      <w:pPr>
        <w:numPr>
          <w:ilvl w:val="0"/>
          <w:numId w:val="7"/>
        </w:numPr>
        <w:tabs>
          <w:tab w:val="clear" w:pos="1152"/>
          <w:tab w:val="left" w:pos="720"/>
        </w:tabs>
        <w:ind w:left="720" w:hanging="360"/>
        <w:rPr>
          <w:bCs/>
        </w:rPr>
      </w:pPr>
      <w:r>
        <w:rPr>
          <w:bCs/>
        </w:rPr>
        <w:t>Signaling pathways in context of biological responses</w:t>
      </w:r>
    </w:p>
    <w:p w:rsidR="007308ED" w:rsidRPr="003133BE" w:rsidRDefault="007308ED" w:rsidP="007308ED">
      <w:pPr>
        <w:numPr>
          <w:ilvl w:val="0"/>
          <w:numId w:val="7"/>
        </w:numPr>
        <w:tabs>
          <w:tab w:val="clear" w:pos="1152"/>
          <w:tab w:val="left" w:pos="720"/>
        </w:tabs>
        <w:ind w:left="720" w:hanging="360"/>
        <w:rPr>
          <w:bCs/>
        </w:rPr>
      </w:pPr>
      <w:r w:rsidRPr="003133BE">
        <w:rPr>
          <w:bCs/>
        </w:rPr>
        <w:t>Apply concepts to interpret experimental data, propose meaningful experimental</w:t>
      </w:r>
      <w:r w:rsidRPr="00165080">
        <w:rPr>
          <w:bCs/>
        </w:rPr>
        <w:t xml:space="preserve"> </w:t>
      </w:r>
      <w:r w:rsidRPr="003133BE">
        <w:rPr>
          <w:bCs/>
        </w:rPr>
        <w:t>approaches, and formulate hypothes</w:t>
      </w:r>
      <w:r>
        <w:rPr>
          <w:bCs/>
        </w:rPr>
        <w:t>e</w:t>
      </w:r>
      <w:r w:rsidRPr="003133BE">
        <w:rPr>
          <w:bCs/>
        </w:rPr>
        <w:t>s.</w:t>
      </w:r>
    </w:p>
    <w:p w:rsidR="007308ED" w:rsidRDefault="007308ED" w:rsidP="007308ED">
      <w:pPr>
        <w:numPr>
          <w:ilvl w:val="0"/>
          <w:numId w:val="7"/>
        </w:numPr>
        <w:tabs>
          <w:tab w:val="clear" w:pos="1152"/>
          <w:tab w:val="left" w:pos="720"/>
        </w:tabs>
        <w:ind w:left="720" w:hanging="360"/>
        <w:rPr>
          <w:bCs/>
        </w:rPr>
      </w:pPr>
      <w:r>
        <w:rPr>
          <w:bCs/>
        </w:rPr>
        <w:t>Critical understanding of current research areas and problems</w:t>
      </w:r>
    </w:p>
    <w:p w:rsidR="007308ED" w:rsidRDefault="007308ED" w:rsidP="007308ED">
      <w:pPr>
        <w:tabs>
          <w:tab w:val="left" w:pos="0"/>
          <w:tab w:val="left" w:pos="720"/>
          <w:tab w:val="left" w:pos="900"/>
        </w:tabs>
        <w:rPr>
          <w:b/>
        </w:rPr>
      </w:pPr>
      <w:r w:rsidRPr="003133BE">
        <w:br w:type="page"/>
      </w:r>
      <w:r>
        <w:rPr>
          <w:b/>
        </w:rPr>
        <w:lastRenderedPageBreak/>
        <w:t>Instructional Methods:</w:t>
      </w:r>
    </w:p>
    <w:p w:rsidR="007308ED" w:rsidRDefault="007308ED" w:rsidP="007308ED">
      <w:pPr>
        <w:tabs>
          <w:tab w:val="left" w:pos="0"/>
          <w:tab w:val="left" w:pos="720"/>
          <w:tab w:val="left" w:pos="900"/>
        </w:tabs>
      </w:pPr>
      <w:r>
        <w:rPr>
          <w:b/>
        </w:rPr>
        <w:tab/>
      </w:r>
      <w:r w:rsidRPr="004B6DEF">
        <w:t>The course is composed of lectures (approx. 15%), group discussion</w:t>
      </w:r>
      <w:r>
        <w:t xml:space="preserve"> (approx. 70%), and individual oral</w:t>
      </w:r>
      <w:r w:rsidRPr="004B6DEF">
        <w:t xml:space="preserve"> presentations (approx 15%) depending on topic</w:t>
      </w:r>
      <w:r>
        <w:t>.  Some</w:t>
      </w:r>
      <w:r w:rsidRPr="004B6DEF">
        <w:t xml:space="preserve"> course topic will </w:t>
      </w:r>
      <w:r>
        <w:t>be introduced through</w:t>
      </w:r>
      <w:r w:rsidRPr="004B6DEF">
        <w:t xml:space="preserve"> lecture</w:t>
      </w:r>
      <w:r>
        <w:t>s</w:t>
      </w:r>
      <w:r w:rsidRPr="004B6DEF">
        <w:t xml:space="preserve"> by the Instructor and further explored in detail through discussions </w:t>
      </w:r>
      <w:r>
        <w:t>of</w:t>
      </w:r>
      <w:r w:rsidRPr="004B6DEF">
        <w:t xml:space="preserve"> primary literature and/or individual oral presentation from students</w:t>
      </w:r>
      <w:r>
        <w:t xml:space="preserve">. One aspect of discussions is to identify </w:t>
      </w:r>
      <w:r w:rsidRPr="004B6DEF">
        <w:t>“</w:t>
      </w:r>
      <w:r>
        <w:t>missing</w:t>
      </w:r>
      <w:r w:rsidRPr="004B6DEF">
        <w:t xml:space="preserve"> knowledge</w:t>
      </w:r>
      <w:r>
        <w:t>” in our understanding of the molecular regulation of gene expression</w:t>
      </w:r>
      <w:r w:rsidRPr="004B6DEF">
        <w:t>.</w:t>
      </w:r>
    </w:p>
    <w:p w:rsidR="007308ED" w:rsidRDefault="007308ED" w:rsidP="007308ED">
      <w:pPr>
        <w:tabs>
          <w:tab w:val="left" w:pos="0"/>
          <w:tab w:val="left" w:pos="720"/>
          <w:tab w:val="left" w:pos="900"/>
        </w:tabs>
      </w:pPr>
      <w:r>
        <w:tab/>
        <w:t>Blackboard will be utilized as a central communication platform for announcements, posting of lectures and reading material, and distribution/collection of exams.</w:t>
      </w:r>
    </w:p>
    <w:p w:rsidR="007308ED" w:rsidRDefault="007308ED" w:rsidP="007308ED">
      <w:pPr>
        <w:tabs>
          <w:tab w:val="left" w:pos="0"/>
          <w:tab w:val="left" w:pos="720"/>
          <w:tab w:val="left" w:pos="900"/>
        </w:tabs>
      </w:pPr>
    </w:p>
    <w:p w:rsidR="007308ED" w:rsidRPr="00911246" w:rsidRDefault="007308ED" w:rsidP="007308ED">
      <w:pPr>
        <w:tabs>
          <w:tab w:val="left" w:pos="0"/>
          <w:tab w:val="left" w:pos="720"/>
          <w:tab w:val="left" w:pos="900"/>
        </w:tabs>
        <w:rPr>
          <w:b/>
        </w:rPr>
      </w:pPr>
      <w:r w:rsidRPr="00911246">
        <w:rPr>
          <w:b/>
        </w:rPr>
        <w:t>Grading:</w:t>
      </w:r>
    </w:p>
    <w:p w:rsidR="007308ED" w:rsidRDefault="007308ED" w:rsidP="007308ED">
      <w:r>
        <w:t xml:space="preserve">Students will be evaluated on the basis of their class </w:t>
      </w:r>
      <w:r w:rsidRPr="0016105B">
        <w:rPr>
          <w:b/>
          <w:i/>
        </w:rPr>
        <w:t>participation</w:t>
      </w:r>
      <w:r>
        <w:t xml:space="preserve">, presentations, and exams. </w:t>
      </w:r>
    </w:p>
    <w:p w:rsidR="007308ED" w:rsidRDefault="007308ED" w:rsidP="007308ED">
      <w:pPr>
        <w:tabs>
          <w:tab w:val="left" w:pos="0"/>
          <w:tab w:val="left" w:pos="720"/>
          <w:tab w:val="left" w:pos="900"/>
        </w:tabs>
      </w:pPr>
    </w:p>
    <w:p w:rsidR="007308ED" w:rsidRDefault="007308ED" w:rsidP="007308ED">
      <w:pPr>
        <w:tabs>
          <w:tab w:val="left" w:pos="2520"/>
        </w:tabs>
        <w:ind w:left="360"/>
      </w:pPr>
      <w:r>
        <w:t>Exams I (Midterm):</w:t>
      </w:r>
      <w:r>
        <w:tab/>
      </w:r>
      <w:r w:rsidR="00802B10">
        <w:t xml:space="preserve">120 </w:t>
      </w:r>
      <w:proofErr w:type="spellStart"/>
      <w:r w:rsidR="00802B10">
        <w:t>pts</w:t>
      </w:r>
      <w:proofErr w:type="spellEnd"/>
      <w:r w:rsidR="00802B10">
        <w:t xml:space="preserve"> or   </w:t>
      </w:r>
      <w:r w:rsidR="002E0EA2">
        <w:t>3</w:t>
      </w:r>
      <w:r>
        <w:t>0%</w:t>
      </w:r>
    </w:p>
    <w:p w:rsidR="007308ED" w:rsidRDefault="007308ED" w:rsidP="007308ED">
      <w:pPr>
        <w:tabs>
          <w:tab w:val="left" w:pos="2520"/>
        </w:tabs>
        <w:ind w:left="360"/>
      </w:pPr>
      <w:r>
        <w:t>Exam II (</w:t>
      </w:r>
      <w:r w:rsidR="002E0EA2">
        <w:t>Final):</w:t>
      </w:r>
      <w:r w:rsidR="002E0EA2">
        <w:tab/>
      </w:r>
      <w:r w:rsidR="00802B10">
        <w:t xml:space="preserve">120 </w:t>
      </w:r>
      <w:proofErr w:type="spellStart"/>
      <w:r w:rsidR="00802B10">
        <w:t>pts</w:t>
      </w:r>
      <w:proofErr w:type="spellEnd"/>
      <w:r w:rsidR="00802B10">
        <w:t xml:space="preserve"> or   </w:t>
      </w:r>
      <w:r w:rsidR="002E0EA2">
        <w:t>3</w:t>
      </w:r>
      <w:r>
        <w:t>0%</w:t>
      </w:r>
    </w:p>
    <w:p w:rsidR="007308ED" w:rsidRDefault="007308ED" w:rsidP="007308ED">
      <w:pPr>
        <w:tabs>
          <w:tab w:val="left" w:pos="2520"/>
        </w:tabs>
        <w:ind w:left="360"/>
      </w:pPr>
      <w:r>
        <w:t>Participation:</w:t>
      </w:r>
      <w:r>
        <w:tab/>
      </w:r>
      <w:r w:rsidR="00802B10">
        <w:t xml:space="preserve">  80 </w:t>
      </w:r>
      <w:proofErr w:type="spellStart"/>
      <w:r w:rsidR="00802B10">
        <w:t>pts</w:t>
      </w:r>
      <w:proofErr w:type="spellEnd"/>
      <w:r w:rsidR="00802B10">
        <w:t xml:space="preserve"> or   </w:t>
      </w:r>
      <w:r w:rsidR="002E0EA2">
        <w:t>2</w:t>
      </w:r>
      <w:r>
        <w:t xml:space="preserve">0% </w:t>
      </w:r>
    </w:p>
    <w:p w:rsidR="007308ED" w:rsidRDefault="007308ED" w:rsidP="007308ED">
      <w:pPr>
        <w:tabs>
          <w:tab w:val="left" w:pos="2520"/>
        </w:tabs>
        <w:ind w:left="360"/>
      </w:pPr>
      <w:r>
        <w:t>Presentations:</w:t>
      </w:r>
      <w:r>
        <w:tab/>
      </w:r>
      <w:r w:rsidR="00802B10">
        <w:t xml:space="preserve">  80 </w:t>
      </w:r>
      <w:proofErr w:type="spellStart"/>
      <w:r w:rsidR="00802B10">
        <w:t>pts</w:t>
      </w:r>
      <w:proofErr w:type="spellEnd"/>
      <w:r w:rsidR="00802B10">
        <w:t xml:space="preserve"> or   </w:t>
      </w:r>
      <w:r>
        <w:t>20%</w:t>
      </w:r>
    </w:p>
    <w:p w:rsidR="00802B10" w:rsidRDefault="00802B10" w:rsidP="007308ED">
      <w:pPr>
        <w:tabs>
          <w:tab w:val="left" w:pos="2520"/>
        </w:tabs>
        <w:ind w:left="360"/>
      </w:pPr>
      <w:r>
        <w:tab/>
        <w:t xml:space="preserve">400 </w:t>
      </w:r>
      <w:proofErr w:type="spellStart"/>
      <w:r>
        <w:t>pts</w:t>
      </w:r>
      <w:proofErr w:type="spellEnd"/>
      <w:r>
        <w:t xml:space="preserve"> or 100%</w:t>
      </w:r>
    </w:p>
    <w:p w:rsidR="007308ED" w:rsidRDefault="007308ED" w:rsidP="007308ED">
      <w:pPr>
        <w:tabs>
          <w:tab w:val="left" w:pos="0"/>
          <w:tab w:val="left" w:pos="720"/>
          <w:tab w:val="left" w:pos="900"/>
        </w:tabs>
      </w:pPr>
    </w:p>
    <w:p w:rsidR="007308ED" w:rsidRDefault="007308ED" w:rsidP="007308ED">
      <w:pPr>
        <w:numPr>
          <w:ilvl w:val="0"/>
          <w:numId w:val="8"/>
        </w:numPr>
        <w:tabs>
          <w:tab w:val="left" w:pos="0"/>
          <w:tab w:val="left" w:pos="720"/>
          <w:tab w:val="left" w:pos="900"/>
        </w:tabs>
      </w:pPr>
      <w:r>
        <w:t>Participation is extracted for each students and lecture topic.  Active involvement in discussions are scored based on material read (15%), understanding of methodology (15%), ability to answer questions directly to text (45%), ability to answer questions extending the scope of text (25%)</w:t>
      </w:r>
    </w:p>
    <w:p w:rsidR="007308ED" w:rsidRDefault="007308ED" w:rsidP="007308ED">
      <w:pPr>
        <w:tabs>
          <w:tab w:val="left" w:pos="0"/>
          <w:tab w:val="left" w:pos="720"/>
          <w:tab w:val="left" w:pos="900"/>
        </w:tabs>
      </w:pPr>
      <w:r>
        <w:tab/>
      </w:r>
    </w:p>
    <w:p w:rsidR="007308ED" w:rsidRDefault="007308ED" w:rsidP="007308ED">
      <w:pPr>
        <w:numPr>
          <w:ilvl w:val="0"/>
          <w:numId w:val="8"/>
        </w:numPr>
        <w:tabs>
          <w:tab w:val="left" w:pos="0"/>
          <w:tab w:val="left" w:pos="720"/>
          <w:tab w:val="left" w:pos="900"/>
          <w:tab w:val="left" w:pos="4320"/>
          <w:tab w:val="left" w:pos="6660"/>
        </w:tabs>
      </w:pPr>
      <w:r>
        <w:t>Presentations are scored as follows:</w:t>
      </w:r>
      <w:r>
        <w:tab/>
        <w:t>Content:</w:t>
      </w:r>
      <w:r>
        <w:tab/>
        <w:t>30%</w:t>
      </w:r>
    </w:p>
    <w:p w:rsidR="007308ED" w:rsidRDefault="007308ED" w:rsidP="007308ED">
      <w:pPr>
        <w:tabs>
          <w:tab w:val="left" w:pos="4320"/>
          <w:tab w:val="left" w:pos="6660"/>
        </w:tabs>
      </w:pPr>
      <w:r>
        <w:tab/>
        <w:t>Organization:</w:t>
      </w:r>
      <w:r>
        <w:tab/>
        <w:t>30%</w:t>
      </w:r>
    </w:p>
    <w:p w:rsidR="007308ED" w:rsidRDefault="007308ED" w:rsidP="007308ED">
      <w:pPr>
        <w:tabs>
          <w:tab w:val="left" w:pos="4320"/>
          <w:tab w:val="left" w:pos="6660"/>
        </w:tabs>
      </w:pPr>
      <w:r>
        <w:tab/>
        <w:t>Presentation:</w:t>
      </w:r>
      <w:r>
        <w:tab/>
        <w:t>25%</w:t>
      </w:r>
    </w:p>
    <w:p w:rsidR="007308ED" w:rsidRPr="00A36498" w:rsidRDefault="007308ED" w:rsidP="007308ED">
      <w:pPr>
        <w:tabs>
          <w:tab w:val="left" w:pos="4320"/>
          <w:tab w:val="left" w:pos="6660"/>
        </w:tabs>
        <w:rPr>
          <w:b/>
        </w:rPr>
      </w:pPr>
      <w:r>
        <w:tab/>
        <w:t xml:space="preserve">Quality of Discussion: </w:t>
      </w:r>
      <w:r>
        <w:tab/>
        <w:t>15%</w:t>
      </w:r>
    </w:p>
    <w:p w:rsidR="007308ED" w:rsidRDefault="007308ED" w:rsidP="007308ED">
      <w:pPr>
        <w:tabs>
          <w:tab w:val="left" w:pos="0"/>
          <w:tab w:val="left" w:pos="720"/>
          <w:tab w:val="left" w:pos="900"/>
        </w:tabs>
      </w:pPr>
    </w:p>
    <w:p w:rsidR="007308ED" w:rsidRDefault="007308ED" w:rsidP="007308ED">
      <w:pPr>
        <w:tabs>
          <w:tab w:val="left" w:pos="0"/>
          <w:tab w:val="left" w:pos="720"/>
          <w:tab w:val="left" w:pos="900"/>
        </w:tabs>
        <w:rPr>
          <w:b/>
        </w:rPr>
      </w:pPr>
      <w:r>
        <w:rPr>
          <w:b/>
        </w:rPr>
        <w:t>Course Policies:</w:t>
      </w:r>
    </w:p>
    <w:p w:rsidR="007308ED" w:rsidRDefault="007308ED" w:rsidP="007308ED">
      <w:pPr>
        <w:ind w:left="1620" w:hanging="1620"/>
      </w:pPr>
      <w:r w:rsidRPr="00165080">
        <w:rPr>
          <w:i/>
        </w:rPr>
        <w:t xml:space="preserve">Attendance: </w:t>
      </w:r>
      <w:r w:rsidRPr="00165080">
        <w:tab/>
      </w:r>
      <w:r>
        <w:t xml:space="preserve">Regular student attendance is expected to ensure consistent </w:t>
      </w:r>
      <w:r w:rsidRPr="00EE7955">
        <w:t>discussion</w:t>
      </w:r>
      <w:r>
        <w:t xml:space="preserve"> activities and.  Active s</w:t>
      </w:r>
      <w:r w:rsidRPr="00EE7955">
        <w:t>tudent</w:t>
      </w:r>
      <w:r>
        <w:t xml:space="preserve"> participation is vital</w:t>
      </w:r>
      <w:r w:rsidRPr="00EE7955">
        <w:t xml:space="preserve"> and will </w:t>
      </w:r>
      <w:r>
        <w:t>account for a large part (60%) of the final grade.</w:t>
      </w:r>
    </w:p>
    <w:p w:rsidR="007308ED" w:rsidRPr="00EE7955" w:rsidRDefault="007308ED" w:rsidP="007308ED">
      <w:pPr>
        <w:ind w:left="1620" w:hanging="1620"/>
      </w:pPr>
      <w:r w:rsidRPr="00165080">
        <w:rPr>
          <w:i/>
        </w:rPr>
        <w:t>Exams:</w:t>
      </w:r>
      <w:r w:rsidRPr="00165080">
        <w:tab/>
      </w:r>
      <w:r>
        <w:t>Two</w:t>
      </w:r>
      <w:r w:rsidRPr="00EE7955">
        <w:t xml:space="preserve"> exams will be given, one midterm and one final exam. </w:t>
      </w:r>
      <w:r>
        <w:t xml:space="preserve">These exams will be a combination of essay questions related to topics discussed and application of knowledge to research data.  </w:t>
      </w:r>
      <w:r w:rsidRPr="00EE7955">
        <w:t>Makeup exams will</w:t>
      </w:r>
      <w:r>
        <w:t xml:space="preserve"> only</w:t>
      </w:r>
      <w:r w:rsidRPr="00EE7955">
        <w:t xml:space="preserve"> be allowed with pre-approval of the instructor or with an acceptable, documented reason</w:t>
      </w:r>
      <w:r>
        <w:t xml:space="preserve"> such as unexpected </w:t>
      </w:r>
      <w:r w:rsidRPr="00EE7955">
        <w:t>illness, family emergencies or other unavoidable events.</w:t>
      </w:r>
    </w:p>
    <w:p w:rsidR="007308ED" w:rsidRDefault="007308ED" w:rsidP="007308ED">
      <w:pPr>
        <w:ind w:left="1620" w:hanging="1620"/>
      </w:pPr>
      <w:r w:rsidRPr="00165080">
        <w:rPr>
          <w:i/>
        </w:rPr>
        <w:t>Presentations:</w:t>
      </w:r>
      <w:r>
        <w:t xml:space="preserve"> </w:t>
      </w:r>
      <w:r>
        <w:tab/>
        <w:t>Students will receive adequate preparation time for all assignments.  Content and organization of topics are the primary concern, however presentation and discussion are also subject to score (scoring sheet).</w:t>
      </w:r>
    </w:p>
    <w:p w:rsidR="007308ED" w:rsidRPr="00CE66EE" w:rsidRDefault="007308ED" w:rsidP="007308ED">
      <w:pPr>
        <w:tabs>
          <w:tab w:val="left" w:pos="0"/>
          <w:tab w:val="left" w:pos="360"/>
        </w:tabs>
      </w:pPr>
    </w:p>
    <w:p w:rsidR="007308ED" w:rsidRPr="00EE7955" w:rsidRDefault="007308ED" w:rsidP="007308ED">
      <w:pPr>
        <w:tabs>
          <w:tab w:val="left" w:pos="0"/>
          <w:tab w:val="left" w:pos="360"/>
        </w:tabs>
        <w:rPr>
          <w:b/>
        </w:rPr>
      </w:pPr>
      <w:r w:rsidRPr="00EE7955">
        <w:rPr>
          <w:b/>
        </w:rPr>
        <w:t>Ethical Considerations:</w:t>
      </w:r>
    </w:p>
    <w:p w:rsidR="007308ED" w:rsidRPr="00165080" w:rsidRDefault="007308ED" w:rsidP="007308ED">
      <w:pPr>
        <w:tabs>
          <w:tab w:val="left" w:pos="0"/>
          <w:tab w:val="left" w:pos="360"/>
        </w:tabs>
      </w:pPr>
      <w:r w:rsidRPr="00EE7955">
        <w:t xml:space="preserve">The Chemistry Department’s policy of cheating is as follows: </w:t>
      </w:r>
      <w:r w:rsidRPr="00EE7955">
        <w:rPr>
          <w:i/>
        </w:rPr>
        <w:t>“any student caught cheating will be assigned a course grade of F. The student’s academic advisor will be notified of this failing grade and the student will not be allowed to drop the course”</w:t>
      </w:r>
      <w:r w:rsidRPr="00EE7955">
        <w:t>.</w:t>
      </w:r>
    </w:p>
    <w:p w:rsidR="007308ED" w:rsidRPr="00EE7955" w:rsidRDefault="007308ED" w:rsidP="007308ED">
      <w:pPr>
        <w:tabs>
          <w:tab w:val="left" w:pos="0"/>
          <w:tab w:val="left" w:pos="360"/>
        </w:tabs>
      </w:pPr>
    </w:p>
    <w:p w:rsidR="00802B10" w:rsidRDefault="00802B10" w:rsidP="007308ED">
      <w:pPr>
        <w:tabs>
          <w:tab w:val="left" w:pos="0"/>
          <w:tab w:val="left" w:pos="360"/>
        </w:tabs>
        <w:rPr>
          <w:b/>
        </w:rPr>
      </w:pPr>
    </w:p>
    <w:p w:rsidR="00802B10" w:rsidRDefault="00802B10" w:rsidP="007308ED">
      <w:pPr>
        <w:tabs>
          <w:tab w:val="left" w:pos="0"/>
          <w:tab w:val="left" w:pos="360"/>
        </w:tabs>
        <w:rPr>
          <w:b/>
        </w:rPr>
      </w:pPr>
    </w:p>
    <w:p w:rsidR="007308ED" w:rsidRDefault="007308ED" w:rsidP="007308ED">
      <w:pPr>
        <w:tabs>
          <w:tab w:val="left" w:pos="0"/>
          <w:tab w:val="left" w:pos="360"/>
        </w:tabs>
        <w:rPr>
          <w:b/>
        </w:rPr>
      </w:pPr>
      <w:r>
        <w:rPr>
          <w:b/>
        </w:rPr>
        <w:lastRenderedPageBreak/>
        <w:t xml:space="preserve">Plagiarism Policy:  </w:t>
      </w:r>
    </w:p>
    <w:p w:rsidR="007308ED" w:rsidRDefault="007308ED" w:rsidP="007308ED">
      <w:r w:rsidRPr="00EE7955">
        <w:t>Plagiarism is defined as the use of</w:t>
      </w:r>
      <w:r>
        <w:t xml:space="preserve"> “other”</w:t>
      </w:r>
      <w:r w:rsidRPr="00EE7955">
        <w:t xml:space="preserve"> intellectual property without </w:t>
      </w:r>
      <w:r>
        <w:t>proper</w:t>
      </w:r>
      <w:r w:rsidRPr="00EE7955">
        <w:t xml:space="preserve"> </w:t>
      </w:r>
      <w:r>
        <w:t xml:space="preserve">reference to the original </w:t>
      </w:r>
      <w:r w:rsidRPr="00EE7955">
        <w:t xml:space="preserve">author.  Intellectual property includes all electronic, spoken or print media </w:t>
      </w:r>
      <w:r w:rsidRPr="00165080">
        <w:rPr>
          <w:b/>
          <w:i/>
        </w:rPr>
        <w:t>thus any information taken of the web is included under this statement</w:t>
      </w:r>
      <w:r w:rsidRPr="00EE7955">
        <w:t xml:space="preserve">.  Students are expected to cite all sources used in oral and written presentations.  Cases of plagiarism will be </w:t>
      </w:r>
      <w:r>
        <w:t xml:space="preserve">taken seriously </w:t>
      </w:r>
      <w:r w:rsidRPr="00EE7955">
        <w:t xml:space="preserve">with a grade 0 for the </w:t>
      </w:r>
      <w:r>
        <w:t>particular assignment</w:t>
      </w:r>
      <w:r w:rsidRPr="00EE7955">
        <w:t>.  Severe cases may be referred to the Department Chair</w:t>
      </w:r>
      <w:r>
        <w:t xml:space="preserve"> or Dean or class failing considered</w:t>
      </w:r>
      <w:r w:rsidRPr="00EE7955">
        <w:t>.</w:t>
      </w:r>
    </w:p>
    <w:p w:rsidR="007308ED" w:rsidRDefault="007308ED" w:rsidP="007308ED">
      <w:pPr>
        <w:tabs>
          <w:tab w:val="left" w:pos="0"/>
          <w:tab w:val="left" w:pos="360"/>
        </w:tabs>
        <w:ind w:left="360"/>
      </w:pPr>
    </w:p>
    <w:p w:rsidR="007308ED" w:rsidRPr="002E0EA2" w:rsidRDefault="007308ED" w:rsidP="007308ED">
      <w:pPr>
        <w:tabs>
          <w:tab w:val="left" w:pos="0"/>
          <w:tab w:val="left" w:pos="720"/>
          <w:tab w:val="left" w:pos="900"/>
        </w:tabs>
        <w:rPr>
          <w:b/>
        </w:rPr>
      </w:pPr>
      <w:r w:rsidRPr="002E0EA2">
        <w:rPr>
          <w:b/>
        </w:rPr>
        <w:t>Services –Support, Disabilities:</w:t>
      </w:r>
    </w:p>
    <w:p w:rsidR="007308ED" w:rsidRDefault="007308ED" w:rsidP="007308ED">
      <w:pPr>
        <w:tabs>
          <w:tab w:val="left" w:pos="0"/>
          <w:tab w:val="left" w:pos="720"/>
          <w:tab w:val="left" w:pos="900"/>
        </w:tabs>
      </w:pPr>
      <w:proofErr w:type="gramStart"/>
      <w:r w:rsidRPr="002E0EA2">
        <w:t>Support services are provided by the University of Alaska Library system, online resources, and the instructor</w:t>
      </w:r>
      <w:proofErr w:type="gramEnd"/>
      <w:r w:rsidRPr="002E0EA2">
        <w:t>.  Additional services are available through Student Support Services (</w:t>
      </w:r>
      <w:hyperlink r:id="rId9" w:history="1">
        <w:r w:rsidRPr="002E0EA2">
          <w:rPr>
            <w:rStyle w:val="Hyperlink"/>
          </w:rPr>
          <w:t>http://www.uaf.edu/sssp/</w:t>
        </w:r>
      </w:hyperlink>
      <w:r w:rsidRPr="002E0EA2">
        <w:t>) at UAF. We will work with the Office of Disabilities Services (208 WHIT, 474-5655) to provide accommodations for students with disabilities.</w:t>
      </w:r>
    </w:p>
    <w:sectPr w:rsidR="007308ED" w:rsidSect="007308ED">
      <w:headerReference w:type="default" r:id="rId10"/>
      <w:footerReference w:type="default" r:id="rId11"/>
      <w:pgSz w:w="12240" w:h="15840"/>
      <w:pgMar w:top="144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A3B" w:rsidRDefault="00B75A3B">
      <w:r>
        <w:separator/>
      </w:r>
    </w:p>
  </w:endnote>
  <w:endnote w:type="continuationSeparator" w:id="0">
    <w:p w:rsidR="00B75A3B" w:rsidRDefault="00B7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8ED" w:rsidRDefault="007308ED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84EAE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A3B" w:rsidRDefault="00B75A3B">
      <w:r>
        <w:separator/>
      </w:r>
    </w:p>
  </w:footnote>
  <w:footnote w:type="continuationSeparator" w:id="0">
    <w:p w:rsidR="00B75A3B" w:rsidRDefault="00B75A3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8ED" w:rsidRDefault="007308ED">
    <w:pPr>
      <w:pStyle w:val="Header"/>
    </w:pPr>
    <w:proofErr w:type="spellStart"/>
    <w:r>
      <w:t>Chem</w:t>
    </w:r>
    <w:proofErr w:type="spellEnd"/>
    <w:r>
      <w:t xml:space="preserve"> 675</w:t>
    </w:r>
    <w:r>
      <w:tab/>
    </w:r>
    <w:r>
      <w:tab/>
      <w:t>Spring 201</w:t>
    </w:r>
    <w:r w:rsidR="00184EAE">
      <w:t>7</w:t>
    </w:r>
  </w:p>
  <w:p w:rsidR="007308ED" w:rsidRDefault="007308E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76F"/>
    <w:multiLevelType w:val="hybridMultilevel"/>
    <w:tmpl w:val="D0445806"/>
    <w:lvl w:ilvl="0" w:tplc="A4FCDB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6B1C74"/>
    <w:multiLevelType w:val="hybridMultilevel"/>
    <w:tmpl w:val="5008D694"/>
    <w:lvl w:ilvl="0" w:tplc="1166D5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7E0A5C"/>
    <w:multiLevelType w:val="hybridMultilevel"/>
    <w:tmpl w:val="4C163BEC"/>
    <w:lvl w:ilvl="0" w:tplc="DCB868A4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  <w:b/>
      </w:rPr>
    </w:lvl>
    <w:lvl w:ilvl="1" w:tplc="1A48A2C2">
      <w:start w:val="1"/>
      <w:numFmt w:val="decimal"/>
      <w:lvlText w:val="%2."/>
      <w:lvlJc w:val="left"/>
      <w:pPr>
        <w:tabs>
          <w:tab w:val="num" w:pos="720"/>
        </w:tabs>
        <w:ind w:left="720" w:hanging="288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FC37701"/>
    <w:multiLevelType w:val="hybridMultilevel"/>
    <w:tmpl w:val="163C713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1A48A2C2">
      <w:start w:val="1"/>
      <w:numFmt w:val="decimal"/>
      <w:lvlText w:val="%2."/>
      <w:lvlJc w:val="left"/>
      <w:pPr>
        <w:tabs>
          <w:tab w:val="num" w:pos="720"/>
        </w:tabs>
        <w:ind w:left="720" w:hanging="288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82338C"/>
    <w:multiLevelType w:val="multilevel"/>
    <w:tmpl w:val="21B45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881947"/>
    <w:multiLevelType w:val="hybridMultilevel"/>
    <w:tmpl w:val="F81A97CA"/>
    <w:lvl w:ilvl="0" w:tplc="DCB868A4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  <w:b/>
      </w:rPr>
    </w:lvl>
    <w:lvl w:ilvl="1" w:tplc="1A48A2C2">
      <w:start w:val="1"/>
      <w:numFmt w:val="decimal"/>
      <w:lvlText w:val="%2."/>
      <w:lvlJc w:val="left"/>
      <w:pPr>
        <w:tabs>
          <w:tab w:val="num" w:pos="720"/>
        </w:tabs>
        <w:ind w:left="720" w:hanging="288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24B1674"/>
    <w:multiLevelType w:val="hybridMultilevel"/>
    <w:tmpl w:val="689EE8BE"/>
    <w:lvl w:ilvl="0" w:tplc="15DE28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1A48A2C2">
      <w:start w:val="1"/>
      <w:numFmt w:val="decimal"/>
      <w:lvlText w:val="%2."/>
      <w:lvlJc w:val="left"/>
      <w:pPr>
        <w:tabs>
          <w:tab w:val="num" w:pos="720"/>
        </w:tabs>
        <w:ind w:left="720" w:hanging="288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D133F7F"/>
    <w:multiLevelType w:val="hybridMultilevel"/>
    <w:tmpl w:val="0360F80A"/>
    <w:lvl w:ilvl="0" w:tplc="DCB868A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3E"/>
    <w:rsid w:val="00184EAE"/>
    <w:rsid w:val="002E0EA2"/>
    <w:rsid w:val="006A03E1"/>
    <w:rsid w:val="007308ED"/>
    <w:rsid w:val="00802B10"/>
    <w:rsid w:val="00A36F3C"/>
    <w:rsid w:val="00AE3783"/>
    <w:rsid w:val="00B75A3B"/>
    <w:rsid w:val="00CD4ACC"/>
    <w:rsid w:val="00DC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DC6DEB"/>
    <w:pPr>
      <w:spacing w:before="100" w:beforeAutospacing="1" w:after="100" w:afterAutospacing="1"/>
      <w:outlineLvl w:val="1"/>
    </w:pPr>
    <w:rPr>
      <w:rFonts w:ascii="Arial" w:hAnsi="Arial" w:cs="Arial"/>
      <w:color w:val="666666"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small">
    <w:name w:val="small"/>
    <w:basedOn w:val="DefaultParagraphFont"/>
    <w:rsid w:val="00C876FA"/>
  </w:style>
  <w:style w:type="character" w:styleId="Hyperlink">
    <w:name w:val="Hyperlink"/>
    <w:rsid w:val="00C876FA"/>
    <w:rPr>
      <w:color w:val="0000FF"/>
      <w:u w:val="single"/>
    </w:rPr>
  </w:style>
  <w:style w:type="character" w:customStyle="1" w:styleId="proddetailssubheader1">
    <w:name w:val="proddetailssubheader1"/>
    <w:rsid w:val="00DC6DEB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proddetailsgen1">
    <w:name w:val="proddetailsgen1"/>
    <w:rsid w:val="00DC6DEB"/>
    <w:rPr>
      <w:rFonts w:ascii="Verdana" w:hAnsi="Verdana" w:hint="default"/>
      <w:color w:val="000000"/>
      <w:sz w:val="17"/>
      <w:szCs w:val="17"/>
    </w:rPr>
  </w:style>
  <w:style w:type="paragraph" w:styleId="Header">
    <w:name w:val="header"/>
    <w:basedOn w:val="Normal"/>
    <w:rsid w:val="001650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650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50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DC6DEB"/>
    <w:pPr>
      <w:spacing w:before="100" w:beforeAutospacing="1" w:after="100" w:afterAutospacing="1"/>
      <w:outlineLvl w:val="1"/>
    </w:pPr>
    <w:rPr>
      <w:rFonts w:ascii="Arial" w:hAnsi="Arial" w:cs="Arial"/>
      <w:color w:val="666666"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small">
    <w:name w:val="small"/>
    <w:basedOn w:val="DefaultParagraphFont"/>
    <w:rsid w:val="00C876FA"/>
  </w:style>
  <w:style w:type="character" w:styleId="Hyperlink">
    <w:name w:val="Hyperlink"/>
    <w:rsid w:val="00C876FA"/>
    <w:rPr>
      <w:color w:val="0000FF"/>
      <w:u w:val="single"/>
    </w:rPr>
  </w:style>
  <w:style w:type="character" w:customStyle="1" w:styleId="proddetailssubheader1">
    <w:name w:val="proddetailssubheader1"/>
    <w:rsid w:val="00DC6DEB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proddetailsgen1">
    <w:name w:val="proddetailsgen1"/>
    <w:rsid w:val="00DC6DEB"/>
    <w:rPr>
      <w:rFonts w:ascii="Verdana" w:hAnsi="Verdana" w:hint="default"/>
      <w:color w:val="000000"/>
      <w:sz w:val="17"/>
      <w:szCs w:val="17"/>
    </w:rPr>
  </w:style>
  <w:style w:type="paragraph" w:styleId="Header">
    <w:name w:val="header"/>
    <w:basedOn w:val="Normal"/>
    <w:rsid w:val="001650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650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5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tbkuhn@alaska.edu" TargetMode="External"/><Relationship Id="rId9" Type="http://schemas.openxmlformats.org/officeDocument/2006/relationships/hyperlink" Target="http://www.uaf.edu/sssp/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4743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Course Syllabus</vt:lpstr>
    </vt:vector>
  </TitlesOfParts>
  <Company>University of Alaska Fairbanks</Company>
  <LinksUpToDate>false</LinksUpToDate>
  <CharactersWithSpaces>5563</CharactersWithSpaces>
  <SharedDoc>false</SharedDoc>
  <HLinks>
    <vt:vector size="12" baseType="variant">
      <vt:variant>
        <vt:i4>458839</vt:i4>
      </vt:variant>
      <vt:variant>
        <vt:i4>3</vt:i4>
      </vt:variant>
      <vt:variant>
        <vt:i4>0</vt:i4>
      </vt:variant>
      <vt:variant>
        <vt:i4>5</vt:i4>
      </vt:variant>
      <vt:variant>
        <vt:lpwstr>http://www.uaf.edu/sssp/</vt:lpwstr>
      </vt:variant>
      <vt:variant>
        <vt:lpwstr/>
      </vt:variant>
      <vt:variant>
        <vt:i4>3866642</vt:i4>
      </vt:variant>
      <vt:variant>
        <vt:i4>0</vt:i4>
      </vt:variant>
      <vt:variant>
        <vt:i4>0</vt:i4>
      </vt:variant>
      <vt:variant>
        <vt:i4>5</vt:i4>
      </vt:variant>
      <vt:variant>
        <vt:lpwstr>mailto:tbkuhn@alaska.edu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Course Syllabus</dc:title>
  <dc:subject/>
  <dc:creator>Marvin Schulte</dc:creator>
  <cp:keywords/>
  <cp:lastModifiedBy>Thomas Kuhn</cp:lastModifiedBy>
  <cp:revision>2</cp:revision>
  <cp:lastPrinted>2007-01-15T19:37:00Z</cp:lastPrinted>
  <dcterms:created xsi:type="dcterms:W3CDTF">2017-01-13T01:31:00Z</dcterms:created>
  <dcterms:modified xsi:type="dcterms:W3CDTF">2017-01-13T01:31:00Z</dcterms:modified>
</cp:coreProperties>
</file>